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9B651D" w14:textId="77777777" w:rsidR="00A31514" w:rsidRPr="00A31514" w:rsidRDefault="00A31514" w:rsidP="004C4BAD">
      <w:pPr>
        <w:widowControl/>
        <w:spacing w:before="100" w:beforeAutospacing="1" w:after="100" w:afterAutospacing="1" w:line="360" w:lineRule="auto"/>
        <w:ind w:firstLineChars="200" w:firstLine="480"/>
        <w:jc w:val="center"/>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关于印发《</w:t>
      </w:r>
      <w:bookmarkStart w:id="0" w:name="_GoBack"/>
      <w:r w:rsidRPr="00A31514">
        <w:rPr>
          <w:rFonts w:ascii="宋体" w:eastAsia="宋体" w:hAnsi="宋体" w:cs="宋体" w:hint="eastAsia"/>
          <w:color w:val="000000"/>
          <w:kern w:val="0"/>
          <w:sz w:val="24"/>
          <w:szCs w:val="24"/>
        </w:rPr>
        <w:t>基本建设项目建设成本管理规定</w:t>
      </w:r>
      <w:bookmarkEnd w:id="0"/>
      <w:r w:rsidRPr="00A31514">
        <w:rPr>
          <w:rFonts w:ascii="宋体" w:eastAsia="宋体" w:hAnsi="宋体" w:cs="宋体" w:hint="eastAsia"/>
          <w:color w:val="000000"/>
          <w:kern w:val="0"/>
          <w:sz w:val="24"/>
          <w:szCs w:val="24"/>
        </w:rPr>
        <w:t>》的通知</w:t>
      </w:r>
    </w:p>
    <w:p w14:paraId="6C82D343" w14:textId="4F88A56E" w:rsidR="00A31514" w:rsidRPr="00A31514" w:rsidRDefault="00A31514" w:rsidP="004C4BAD">
      <w:pPr>
        <w:widowControl/>
        <w:spacing w:before="100" w:beforeAutospacing="1" w:after="100" w:afterAutospacing="1" w:line="360" w:lineRule="auto"/>
        <w:ind w:firstLineChars="200" w:firstLine="480"/>
        <w:jc w:val="center"/>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3015B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20.25pt;height:17.25pt" o:ole="">
            <v:imagedata r:id="rId6" o:title=""/>
          </v:shape>
          <w:control r:id="rId7" w:name="DefaultOcxName" w:shapeid="_x0000_i1144"/>
        </w:object>
      </w:r>
      <w:proofErr w:type="gramStart"/>
      <w:r w:rsidRPr="00A31514">
        <w:rPr>
          <w:rFonts w:ascii="宋体" w:eastAsia="宋体" w:hAnsi="宋体" w:cs="宋体" w:hint="eastAsia"/>
          <w:color w:val="000000"/>
          <w:kern w:val="0"/>
          <w:sz w:val="24"/>
          <w:szCs w:val="24"/>
        </w:rPr>
        <w:t>财建</w:t>
      </w:r>
      <w:proofErr w:type="gramEnd"/>
      <w:r w:rsidRPr="00A31514">
        <w:rPr>
          <w:rFonts w:ascii="宋体" w:eastAsia="宋体" w:hAnsi="宋体" w:cs="宋体" w:hint="eastAsia"/>
          <w:color w:val="000000"/>
          <w:kern w:val="0"/>
          <w:sz w:val="24"/>
          <w:szCs w:val="24"/>
        </w:rPr>
        <w:t>[2016]504号</w:t>
      </w:r>
    </w:p>
    <w:p w14:paraId="71EFA759" w14:textId="1538ABE8"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6302708">
          <v:shape id="_x0000_i1143" type="#_x0000_t75" style="width:20.25pt;height:17.25pt" o:ole="">
            <v:imagedata r:id="rId6" o:title=""/>
          </v:shape>
          <w:control r:id="rId8" w:name="DefaultOcxName1" w:shapeid="_x0000_i1143"/>
        </w:object>
      </w:r>
      <w:r w:rsidRPr="00A31514">
        <w:rPr>
          <w:rFonts w:ascii="宋体" w:eastAsia="宋体" w:hAnsi="宋体" w:cs="宋体" w:hint="eastAsia"/>
          <w:color w:val="000000"/>
          <w:kern w:val="0"/>
          <w:sz w:val="24"/>
          <w:szCs w:val="24"/>
        </w:rPr>
        <w:t>党中央有关部门，国务院各部委、各直属机构，军委后勤保障部，武警总部，全国人大常委会办公厅，全国政协办公厅，高法院，高检院，各民主党派中央，有关人民团体，各中央管理企业，各省、自治区、计划单列市财政厅（局），新疆生产建设兵团财务局：</w:t>
      </w:r>
    </w:p>
    <w:p w14:paraId="11F404D6" w14:textId="22436836"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70561D85">
          <v:shape id="_x0000_i1142" type="#_x0000_t75" style="width:20.25pt;height:17.25pt" o:ole="">
            <v:imagedata r:id="rId6" o:title=""/>
          </v:shape>
          <w:control r:id="rId9" w:name="DefaultOcxName2" w:shapeid="_x0000_i1142"/>
        </w:object>
      </w:r>
      <w:r w:rsidRPr="00A31514">
        <w:rPr>
          <w:rFonts w:ascii="宋体" w:eastAsia="宋体" w:hAnsi="宋体" w:cs="宋体" w:hint="eastAsia"/>
          <w:color w:val="000000"/>
          <w:kern w:val="0"/>
          <w:sz w:val="24"/>
          <w:szCs w:val="24"/>
        </w:rPr>
        <w:t>为推动各部门、各地区进一步加强基本建设成本核算管理，提高资金使用效益，针对基本建设成本管理中反映出的主要问题，依据《基本建设财务规则》，现印发《基本建设项目建设成本管理规定》，请认真贯彻执行。</w:t>
      </w:r>
    </w:p>
    <w:p w14:paraId="596A30D3" w14:textId="4847626A"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2B75953">
          <v:shape id="_x0000_i1141" type="#_x0000_t75" style="width:20.25pt;height:17.25pt" o:ole="">
            <v:imagedata r:id="rId6" o:title=""/>
          </v:shape>
          <w:control r:id="rId10" w:name="DefaultOcxName3" w:shapeid="_x0000_i1141"/>
        </w:object>
      </w:r>
      <w:r w:rsidRPr="00A31514">
        <w:rPr>
          <w:rFonts w:ascii="宋体" w:eastAsia="宋体" w:hAnsi="宋体" w:cs="宋体" w:hint="eastAsia"/>
          <w:color w:val="000000"/>
          <w:kern w:val="0"/>
          <w:sz w:val="24"/>
          <w:szCs w:val="24"/>
        </w:rPr>
        <w:t>附件：1.基本建设项目建设成本管理规定</w:t>
      </w:r>
    </w:p>
    <w:p w14:paraId="59DFF980" w14:textId="62039888"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EEA8F1B">
          <v:shape id="_x0000_i1140" type="#_x0000_t75" style="width:20.25pt;height:17.25pt" o:ole="">
            <v:imagedata r:id="rId6" o:title=""/>
          </v:shape>
          <w:control r:id="rId11" w:name="DefaultOcxName4" w:shapeid="_x0000_i1140"/>
        </w:object>
      </w:r>
      <w:r w:rsidRPr="00A31514">
        <w:rPr>
          <w:rFonts w:ascii="宋体" w:eastAsia="宋体" w:hAnsi="宋体" w:cs="宋体" w:hint="eastAsia"/>
          <w:color w:val="000000"/>
          <w:kern w:val="0"/>
          <w:sz w:val="24"/>
          <w:szCs w:val="24"/>
        </w:rPr>
        <w:t>2.项目建设管理费总额控制数费率表</w:t>
      </w:r>
    </w:p>
    <w:p w14:paraId="00737E18" w14:textId="5ADE7334" w:rsidR="00A31514" w:rsidRPr="00A31514" w:rsidRDefault="00A31514" w:rsidP="004C4BAD">
      <w:pPr>
        <w:widowControl/>
        <w:spacing w:before="100" w:beforeAutospacing="1" w:after="100" w:afterAutospacing="1" w:line="360" w:lineRule="auto"/>
        <w:ind w:firstLineChars="200" w:firstLine="480"/>
        <w:jc w:val="righ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4780E35D">
          <v:shape id="_x0000_i1139" type="#_x0000_t75" style="width:20.25pt;height:17.25pt" o:ole="">
            <v:imagedata r:id="rId6" o:title=""/>
          </v:shape>
          <w:control r:id="rId12" w:name="DefaultOcxName5" w:shapeid="_x0000_i1139"/>
        </w:object>
      </w:r>
      <w:r w:rsidRPr="00A31514">
        <w:rPr>
          <w:rFonts w:ascii="宋体" w:eastAsia="宋体" w:hAnsi="宋体" w:cs="宋体" w:hint="eastAsia"/>
          <w:color w:val="000000"/>
          <w:kern w:val="0"/>
          <w:sz w:val="24"/>
          <w:szCs w:val="24"/>
        </w:rPr>
        <w:t>财政部</w:t>
      </w:r>
    </w:p>
    <w:p w14:paraId="69B902FB" w14:textId="6A69A74E" w:rsidR="00A31514" w:rsidRPr="00A31514" w:rsidRDefault="00A31514" w:rsidP="004C4BAD">
      <w:pPr>
        <w:widowControl/>
        <w:spacing w:before="100" w:beforeAutospacing="1" w:after="100" w:afterAutospacing="1" w:line="360" w:lineRule="auto"/>
        <w:ind w:firstLineChars="200" w:firstLine="480"/>
        <w:jc w:val="righ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69F377C">
          <v:shape id="_x0000_i1138" type="#_x0000_t75" style="width:20.25pt;height:17.25pt" o:ole="">
            <v:imagedata r:id="rId6" o:title=""/>
          </v:shape>
          <w:control r:id="rId13" w:name="DefaultOcxName6" w:shapeid="_x0000_i1138"/>
        </w:object>
      </w:r>
      <w:r w:rsidRPr="00A31514">
        <w:rPr>
          <w:rFonts w:ascii="宋体" w:eastAsia="宋体" w:hAnsi="宋体" w:cs="宋体" w:hint="eastAsia"/>
          <w:color w:val="000000"/>
          <w:kern w:val="0"/>
          <w:sz w:val="24"/>
          <w:szCs w:val="24"/>
        </w:rPr>
        <w:t>2016年7月6日</w:t>
      </w:r>
    </w:p>
    <w:p w14:paraId="5860ADD1" w14:textId="77777777" w:rsidR="004C4BAD" w:rsidRDefault="004C4BAD">
      <w:pPr>
        <w:widowControl/>
        <w:jc w:val="left"/>
        <w:rPr>
          <w:rFonts w:ascii="宋体" w:eastAsia="宋体" w:hAnsi="宋体" w:cs="宋体"/>
          <w:color w:val="000000"/>
          <w:kern w:val="0"/>
          <w:sz w:val="24"/>
          <w:szCs w:val="24"/>
        </w:rPr>
      </w:pPr>
      <w:r>
        <w:rPr>
          <w:rFonts w:ascii="宋体" w:eastAsia="宋体" w:hAnsi="宋体" w:cs="宋体"/>
          <w:color w:val="000000"/>
          <w:kern w:val="0"/>
          <w:sz w:val="24"/>
          <w:szCs w:val="24"/>
        </w:rPr>
        <w:br w:type="page"/>
      </w:r>
    </w:p>
    <w:p w14:paraId="79B45416" w14:textId="365790F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5205B94">
          <v:shape id="_x0000_i1137" type="#_x0000_t75" style="width:20.25pt;height:17.25pt" o:ole="">
            <v:imagedata r:id="rId6" o:title=""/>
          </v:shape>
          <w:control r:id="rId14" w:name="DefaultOcxName7" w:shapeid="_x0000_i1137"/>
        </w:object>
      </w:r>
      <w:r w:rsidRPr="00A31514">
        <w:rPr>
          <w:rFonts w:ascii="宋体" w:eastAsia="宋体" w:hAnsi="宋体" w:cs="宋体" w:hint="eastAsia"/>
          <w:color w:val="000000"/>
          <w:kern w:val="0"/>
          <w:sz w:val="24"/>
          <w:szCs w:val="24"/>
        </w:rPr>
        <w:t>附件1：</w:t>
      </w:r>
    </w:p>
    <w:bookmarkStart w:id="1" w:name="a9"/>
    <w:bookmarkEnd w:id="1"/>
    <w:p w14:paraId="160AD3CB" w14:textId="643D4BF1" w:rsidR="00A31514" w:rsidRPr="00A31514" w:rsidRDefault="00A31514" w:rsidP="004C4BAD">
      <w:pPr>
        <w:widowControl/>
        <w:spacing w:before="100" w:beforeAutospacing="1" w:after="100" w:afterAutospacing="1" w:line="360" w:lineRule="auto"/>
        <w:ind w:firstLineChars="200" w:firstLine="480"/>
        <w:jc w:val="center"/>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565F3D7">
          <v:shape id="_x0000_i1136" type="#_x0000_t75" style="width:20.25pt;height:17.25pt" o:ole="">
            <v:imagedata r:id="rId6" o:title=""/>
          </v:shape>
          <w:control r:id="rId15" w:name="DefaultOcxName8" w:shapeid="_x0000_i1136"/>
        </w:object>
      </w:r>
      <w:r w:rsidRPr="00A31514">
        <w:rPr>
          <w:rFonts w:ascii="宋体" w:eastAsia="宋体" w:hAnsi="宋体" w:cs="宋体" w:hint="eastAsia"/>
          <w:color w:val="000000"/>
          <w:kern w:val="0"/>
          <w:sz w:val="24"/>
          <w:szCs w:val="24"/>
        </w:rPr>
        <w:t>基本建设项目建设成本管理规定</w:t>
      </w:r>
    </w:p>
    <w:p w14:paraId="386BD9B4" w14:textId="06D87D8A"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34845FE">
          <v:shape id="_x0000_i1135" type="#_x0000_t75" style="width:20.25pt;height:17.25pt" o:ole="">
            <v:imagedata r:id="rId6" o:title=""/>
          </v:shape>
          <w:control r:id="rId16" w:name="DefaultOcxName9" w:shapeid="_x0000_i1135"/>
        </w:object>
      </w:r>
      <w:r w:rsidRPr="00A31514">
        <w:rPr>
          <w:rFonts w:ascii="宋体" w:eastAsia="宋体" w:hAnsi="宋体" w:cs="宋体" w:hint="eastAsia"/>
          <w:color w:val="000000"/>
          <w:kern w:val="0"/>
          <w:sz w:val="24"/>
          <w:szCs w:val="24"/>
        </w:rPr>
        <w:t>第一条  为了规范基本建设项目建设成本管理，提高建设资金使用效益，依据《基本建设财务规则》（财政部令第81号），制定本规定。</w:t>
      </w:r>
    </w:p>
    <w:p w14:paraId="1C8BA8C2" w14:textId="735F699E"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6B1CE4F">
          <v:shape id="_x0000_i1134" type="#_x0000_t75" style="width:20.25pt;height:17.25pt" o:ole="">
            <v:imagedata r:id="rId6" o:title=""/>
          </v:shape>
          <w:control r:id="rId17" w:name="DefaultOcxName10" w:shapeid="_x0000_i1134"/>
        </w:object>
      </w:r>
      <w:r w:rsidRPr="00A31514">
        <w:rPr>
          <w:rFonts w:ascii="宋体" w:eastAsia="宋体" w:hAnsi="宋体" w:cs="宋体" w:hint="eastAsia"/>
          <w:color w:val="000000"/>
          <w:kern w:val="0"/>
          <w:sz w:val="24"/>
          <w:szCs w:val="24"/>
        </w:rPr>
        <w:t>第二条　建筑安装工程投资支出是指基本建设项目（以下简称项目）建设单位按照批准的建设内容发生的建筑工程和安装工程的实际成本，其中不包括被安装设备本身的价值，以及按照合同规定支付给施工单位的预付备料款和预付工程款。</w:t>
      </w:r>
    </w:p>
    <w:p w14:paraId="34D5D033" w14:textId="756AD718"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6E44668B">
          <v:shape id="_x0000_i1133" type="#_x0000_t75" style="width:20.25pt;height:17.25pt" o:ole="">
            <v:imagedata r:id="rId6" o:title=""/>
          </v:shape>
          <w:control r:id="rId18" w:name="DefaultOcxName11" w:shapeid="_x0000_i1133"/>
        </w:object>
      </w:r>
      <w:r w:rsidRPr="00A31514">
        <w:rPr>
          <w:rFonts w:ascii="宋体" w:eastAsia="宋体" w:hAnsi="宋体" w:cs="宋体" w:hint="eastAsia"/>
          <w:color w:val="000000"/>
          <w:kern w:val="0"/>
          <w:sz w:val="24"/>
          <w:szCs w:val="24"/>
        </w:rPr>
        <w:t>第三条　设备投资支出是指项目建设单位按照批准的建设内容发生的各种设备的实际成本（不包括工程抵扣的增值税进项税额），包括需要安装设备、不需要安装设备和为生产准备的不够固定资产标准的工具、器具的实际成本。</w:t>
      </w:r>
    </w:p>
    <w:p w14:paraId="09A11770" w14:textId="1C646FE9"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511EDC05">
          <v:shape id="_x0000_i1132" type="#_x0000_t75" style="width:20.25pt;height:17.25pt" o:ole="">
            <v:imagedata r:id="rId6" o:title=""/>
          </v:shape>
          <w:control r:id="rId19" w:name="DefaultOcxName12" w:shapeid="_x0000_i1132"/>
        </w:object>
      </w:r>
      <w:r w:rsidRPr="00A31514">
        <w:rPr>
          <w:rFonts w:ascii="宋体" w:eastAsia="宋体" w:hAnsi="宋体" w:cs="宋体" w:hint="eastAsia"/>
          <w:color w:val="000000"/>
          <w:kern w:val="0"/>
          <w:sz w:val="24"/>
          <w:szCs w:val="24"/>
        </w:rPr>
        <w:t>需要安装设备是指必须将其整体或几个部位装配起来，安装在基础上或建筑物支架上才能使用的设备。不需要安装设备是指不必固定在一定位置或支架上就可以使用的设备。</w:t>
      </w:r>
    </w:p>
    <w:p w14:paraId="040CCE2D" w14:textId="78ECBDB8"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27EB8E59">
          <v:shape id="_x0000_i1131" type="#_x0000_t75" style="width:20.25pt;height:17.25pt" o:ole="">
            <v:imagedata r:id="rId6" o:title=""/>
          </v:shape>
          <w:control r:id="rId20" w:name="DefaultOcxName13" w:shapeid="_x0000_i1131"/>
        </w:object>
      </w:r>
      <w:r w:rsidRPr="00A31514">
        <w:rPr>
          <w:rFonts w:ascii="宋体" w:eastAsia="宋体" w:hAnsi="宋体" w:cs="宋体" w:hint="eastAsia"/>
          <w:color w:val="000000"/>
          <w:kern w:val="0"/>
          <w:sz w:val="24"/>
          <w:szCs w:val="24"/>
        </w:rPr>
        <w:t>第四条　待摊投资支出是指项目建设单位按照批准的建设内容发生的，应当分摊计入相关资产价值的各项费用和税金支出。主要包括：</w:t>
      </w:r>
    </w:p>
    <w:p w14:paraId="7A4E4772" w14:textId="472563CD"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2C0C0B4">
          <v:shape id="_x0000_i1130" type="#_x0000_t75" style="width:20.25pt;height:17.25pt" o:ole="">
            <v:imagedata r:id="rId6" o:title=""/>
          </v:shape>
          <w:control r:id="rId21" w:name="DefaultOcxName14" w:shapeid="_x0000_i1130"/>
        </w:object>
      </w:r>
      <w:r w:rsidRPr="00A31514">
        <w:rPr>
          <w:rFonts w:ascii="宋体" w:eastAsia="宋体" w:hAnsi="宋体" w:cs="宋体" w:hint="eastAsia"/>
          <w:color w:val="000000"/>
          <w:kern w:val="0"/>
          <w:sz w:val="24"/>
          <w:szCs w:val="24"/>
        </w:rPr>
        <w:t>（一）勘察费、设计费、研究试验费、可行性研究费及项目其他前期费用；</w:t>
      </w:r>
    </w:p>
    <w:p w14:paraId="2817DBF9" w14:textId="7C3BB8FD"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7AD811A">
          <v:shape id="_x0000_i1129" type="#_x0000_t75" style="width:20.25pt;height:17.25pt" o:ole="">
            <v:imagedata r:id="rId6" o:title=""/>
          </v:shape>
          <w:control r:id="rId22" w:name="DefaultOcxName15" w:shapeid="_x0000_i1129"/>
        </w:object>
      </w:r>
      <w:r w:rsidRPr="00A31514">
        <w:rPr>
          <w:rFonts w:ascii="宋体" w:eastAsia="宋体" w:hAnsi="宋体" w:cs="宋体" w:hint="eastAsia"/>
          <w:color w:val="000000"/>
          <w:kern w:val="0"/>
          <w:sz w:val="24"/>
          <w:szCs w:val="24"/>
        </w:rPr>
        <w:t>（二）土地征用及迁移补偿费、土地复垦及补偿费、森林植被恢复费及其他为取得或租用土地使用权而发生的费用；</w:t>
      </w:r>
    </w:p>
    <w:p w14:paraId="365EA72A" w14:textId="55EE8959"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263E6F67">
          <v:shape id="_x0000_i1128" type="#_x0000_t75" style="width:20.25pt;height:17.25pt" o:ole="">
            <v:imagedata r:id="rId6" o:title=""/>
          </v:shape>
          <w:control r:id="rId23" w:name="DefaultOcxName16" w:shapeid="_x0000_i1128"/>
        </w:object>
      </w:r>
      <w:r w:rsidRPr="00A31514">
        <w:rPr>
          <w:rFonts w:ascii="宋体" w:eastAsia="宋体" w:hAnsi="宋体" w:cs="宋体" w:hint="eastAsia"/>
          <w:color w:val="000000"/>
          <w:kern w:val="0"/>
          <w:sz w:val="24"/>
          <w:szCs w:val="24"/>
        </w:rPr>
        <w:t>（三）土地使用税、耕地占用税、契税、车船税、印花税及按规定缴纳的其他税费；</w:t>
      </w:r>
    </w:p>
    <w:p w14:paraId="683FC993" w14:textId="5F4348EF"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44449BA8">
          <v:shape id="_x0000_i1127" type="#_x0000_t75" style="width:20.25pt;height:17.25pt" o:ole="">
            <v:imagedata r:id="rId6" o:title=""/>
          </v:shape>
          <w:control r:id="rId24" w:name="DefaultOcxName17" w:shapeid="_x0000_i1127"/>
        </w:object>
      </w:r>
      <w:r w:rsidRPr="00A31514">
        <w:rPr>
          <w:rFonts w:ascii="宋体" w:eastAsia="宋体" w:hAnsi="宋体" w:cs="宋体" w:hint="eastAsia"/>
          <w:color w:val="000000"/>
          <w:kern w:val="0"/>
          <w:sz w:val="24"/>
          <w:szCs w:val="24"/>
        </w:rPr>
        <w:t>（四）项目建设管理费、代建管理费、临时设施费、监理费、招标投标费、社会中介机构审查费及其他管理性质的费用；</w:t>
      </w:r>
    </w:p>
    <w:p w14:paraId="72250C01" w14:textId="53C38E7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71462B0">
          <v:shape id="_x0000_i1126" type="#_x0000_t75" style="width:20.25pt;height:17.25pt" o:ole="">
            <v:imagedata r:id="rId6" o:title=""/>
          </v:shape>
          <w:control r:id="rId25" w:name="DefaultOcxName18" w:shapeid="_x0000_i1126"/>
        </w:object>
      </w:r>
      <w:r w:rsidRPr="00A31514">
        <w:rPr>
          <w:rFonts w:ascii="宋体" w:eastAsia="宋体" w:hAnsi="宋体" w:cs="宋体" w:hint="eastAsia"/>
          <w:color w:val="000000"/>
          <w:kern w:val="0"/>
          <w:sz w:val="24"/>
          <w:szCs w:val="24"/>
        </w:rPr>
        <w:t>（五）项目建设期间发生的各类借款利息、债券利息、贷款评估费、国外借款手续费及承诺费、汇兑损益、债券发行费用及其他债务利息支出或融资费用；</w:t>
      </w:r>
    </w:p>
    <w:p w14:paraId="124A6905" w14:textId="1022A80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41AA793">
          <v:shape id="_x0000_i1125" type="#_x0000_t75" style="width:20.25pt;height:17.25pt" o:ole="">
            <v:imagedata r:id="rId6" o:title=""/>
          </v:shape>
          <w:control r:id="rId26" w:name="DefaultOcxName19" w:shapeid="_x0000_i1125"/>
        </w:object>
      </w:r>
      <w:r w:rsidRPr="00A31514">
        <w:rPr>
          <w:rFonts w:ascii="宋体" w:eastAsia="宋体" w:hAnsi="宋体" w:cs="宋体" w:hint="eastAsia"/>
          <w:color w:val="000000"/>
          <w:kern w:val="0"/>
          <w:sz w:val="24"/>
          <w:szCs w:val="24"/>
        </w:rPr>
        <w:t>（六）工程检测费、设备检验费、负荷联合试车费及其他检验检测类费用；</w:t>
      </w:r>
    </w:p>
    <w:p w14:paraId="4BAB9299" w14:textId="4BA8D2B6"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D9B5745">
          <v:shape id="_x0000_i1124" type="#_x0000_t75" style="width:20.25pt;height:17.25pt" o:ole="">
            <v:imagedata r:id="rId6" o:title=""/>
          </v:shape>
          <w:control r:id="rId27" w:name="DefaultOcxName20" w:shapeid="_x0000_i1124"/>
        </w:object>
      </w:r>
      <w:r w:rsidRPr="00A31514">
        <w:rPr>
          <w:rFonts w:ascii="宋体" w:eastAsia="宋体" w:hAnsi="宋体" w:cs="宋体" w:hint="eastAsia"/>
          <w:color w:val="000000"/>
          <w:kern w:val="0"/>
          <w:sz w:val="24"/>
          <w:szCs w:val="24"/>
        </w:rPr>
        <w:t>（七）固定资产损失、器材处理亏损、设备盘亏及毁损、报废工程净损失及其他损失；</w:t>
      </w:r>
    </w:p>
    <w:p w14:paraId="1023D0C0" w14:textId="2ECED958"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B6FB3A2">
          <v:shape id="_x0000_i1123" type="#_x0000_t75" style="width:20.25pt;height:17.25pt" o:ole="">
            <v:imagedata r:id="rId6" o:title=""/>
          </v:shape>
          <w:control r:id="rId28" w:name="DefaultOcxName21" w:shapeid="_x0000_i1123"/>
        </w:object>
      </w:r>
      <w:r w:rsidRPr="00A31514">
        <w:rPr>
          <w:rFonts w:ascii="宋体" w:eastAsia="宋体" w:hAnsi="宋体" w:cs="宋体" w:hint="eastAsia"/>
          <w:color w:val="000000"/>
          <w:kern w:val="0"/>
          <w:sz w:val="24"/>
          <w:szCs w:val="24"/>
        </w:rPr>
        <w:t>（八）系统集成等信息工程的费用支出；</w:t>
      </w:r>
    </w:p>
    <w:p w14:paraId="490C0F12" w14:textId="4095DE13"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274AFEDB">
          <v:shape id="_x0000_i1122" type="#_x0000_t75" style="width:20.25pt;height:17.25pt" o:ole="">
            <v:imagedata r:id="rId6" o:title=""/>
          </v:shape>
          <w:control r:id="rId29" w:name="DefaultOcxName22" w:shapeid="_x0000_i1122"/>
        </w:object>
      </w:r>
      <w:r w:rsidRPr="00A31514">
        <w:rPr>
          <w:rFonts w:ascii="宋体" w:eastAsia="宋体" w:hAnsi="宋体" w:cs="宋体" w:hint="eastAsia"/>
          <w:color w:val="000000"/>
          <w:kern w:val="0"/>
          <w:sz w:val="24"/>
          <w:szCs w:val="24"/>
        </w:rPr>
        <w:t>（九）其他待摊投资性质支出。</w:t>
      </w:r>
    </w:p>
    <w:p w14:paraId="6EAAFDA7" w14:textId="02BD1383"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31FE976">
          <v:shape id="_x0000_i1121" type="#_x0000_t75" style="width:20.25pt;height:17.25pt" o:ole="">
            <v:imagedata r:id="rId6" o:title=""/>
          </v:shape>
          <w:control r:id="rId30" w:name="DefaultOcxName23" w:shapeid="_x0000_i1121"/>
        </w:object>
      </w:r>
      <w:r w:rsidRPr="00A31514">
        <w:rPr>
          <w:rFonts w:ascii="宋体" w:eastAsia="宋体" w:hAnsi="宋体" w:cs="宋体" w:hint="eastAsia"/>
          <w:color w:val="000000"/>
          <w:kern w:val="0"/>
          <w:sz w:val="24"/>
          <w:szCs w:val="24"/>
        </w:rPr>
        <w:t>项目在建设期间的建设资金存款利息收入冲减债务利息支出，利息收入超过利息支出的部分，冲减待摊投资总支出。</w:t>
      </w:r>
    </w:p>
    <w:p w14:paraId="30D1E0E3" w14:textId="62CB7ADE"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7A4BF56F">
          <v:shape id="_x0000_i1120" type="#_x0000_t75" style="width:20.25pt;height:17.25pt" o:ole="">
            <v:imagedata r:id="rId6" o:title=""/>
          </v:shape>
          <w:control r:id="rId31" w:name="DefaultOcxName24" w:shapeid="_x0000_i1120"/>
        </w:object>
      </w:r>
      <w:r w:rsidRPr="00A31514">
        <w:rPr>
          <w:rFonts w:ascii="宋体" w:eastAsia="宋体" w:hAnsi="宋体" w:cs="宋体" w:hint="eastAsia"/>
          <w:color w:val="000000"/>
          <w:kern w:val="0"/>
          <w:sz w:val="24"/>
          <w:szCs w:val="24"/>
        </w:rPr>
        <w:t>第五条  项目建设管理费是指项目建设单位从项目筹建之日起</w:t>
      </w:r>
      <w:proofErr w:type="gramStart"/>
      <w:r w:rsidRPr="00A31514">
        <w:rPr>
          <w:rFonts w:ascii="宋体" w:eastAsia="宋体" w:hAnsi="宋体" w:cs="宋体" w:hint="eastAsia"/>
          <w:color w:val="000000"/>
          <w:kern w:val="0"/>
          <w:sz w:val="24"/>
          <w:szCs w:val="24"/>
        </w:rPr>
        <w:t>至办理</w:t>
      </w:r>
      <w:proofErr w:type="gramEnd"/>
      <w:r w:rsidRPr="00A31514">
        <w:rPr>
          <w:rFonts w:ascii="宋体" w:eastAsia="宋体" w:hAnsi="宋体" w:cs="宋体" w:hint="eastAsia"/>
          <w:color w:val="000000"/>
          <w:kern w:val="0"/>
          <w:sz w:val="24"/>
          <w:szCs w:val="24"/>
        </w:rPr>
        <w:t>竣工财务决算之日止发生的管理性质的支出。包括：不在原单位发工资的工作人员工资及相关费用、办公费、</w:t>
      </w:r>
      <w:proofErr w:type="gramStart"/>
      <w:r w:rsidRPr="00A31514">
        <w:rPr>
          <w:rFonts w:ascii="宋体" w:eastAsia="宋体" w:hAnsi="宋体" w:cs="宋体" w:hint="eastAsia"/>
          <w:color w:val="000000"/>
          <w:kern w:val="0"/>
          <w:sz w:val="24"/>
          <w:szCs w:val="24"/>
        </w:rPr>
        <w:t>办公场</w:t>
      </w:r>
      <w:proofErr w:type="gramEnd"/>
      <w:r w:rsidRPr="00A31514">
        <w:rPr>
          <w:rFonts w:ascii="宋体" w:eastAsia="宋体" w:hAnsi="宋体" w:cs="宋体" w:hint="eastAsia"/>
          <w:color w:val="000000"/>
          <w:kern w:val="0"/>
          <w:sz w:val="24"/>
          <w:szCs w:val="24"/>
        </w:rPr>
        <w:t>地租用费、差旅交通费、劳动保护费、工具用具使用费、固定资产使用费、招募生产工人费、技术图书资料费（含软件）、业务招待费、施工现场津贴、竣工验收费和其他管理性质开支。</w:t>
      </w:r>
    </w:p>
    <w:p w14:paraId="7EAD299F" w14:textId="6041C591"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4F138B8D">
          <v:shape id="_x0000_i1119" type="#_x0000_t75" style="width:20.25pt;height:17.25pt" o:ole="">
            <v:imagedata r:id="rId6" o:title=""/>
          </v:shape>
          <w:control r:id="rId32" w:name="DefaultOcxName25" w:shapeid="_x0000_i1119"/>
        </w:object>
      </w:r>
      <w:r w:rsidRPr="00A31514">
        <w:rPr>
          <w:rFonts w:ascii="宋体" w:eastAsia="宋体" w:hAnsi="宋体" w:cs="宋体" w:hint="eastAsia"/>
          <w:color w:val="000000"/>
          <w:kern w:val="0"/>
          <w:sz w:val="24"/>
          <w:szCs w:val="24"/>
        </w:rPr>
        <w:t>项目建设单位应当严格执行《党政机关厉行节约反对浪费条例》，严格控制项目建设管理费。</w:t>
      </w:r>
    </w:p>
    <w:p w14:paraId="5422ABB3" w14:textId="4ECD388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BDD841A">
          <v:shape id="_x0000_i1118" type="#_x0000_t75" style="width:20.25pt;height:17.25pt" o:ole="">
            <v:imagedata r:id="rId6" o:title=""/>
          </v:shape>
          <w:control r:id="rId33" w:name="DefaultOcxName26" w:shapeid="_x0000_i1118"/>
        </w:object>
      </w:r>
      <w:r w:rsidRPr="00A31514">
        <w:rPr>
          <w:rFonts w:ascii="宋体" w:eastAsia="宋体" w:hAnsi="宋体" w:cs="宋体" w:hint="eastAsia"/>
          <w:color w:val="000000"/>
          <w:kern w:val="0"/>
          <w:sz w:val="24"/>
          <w:szCs w:val="24"/>
        </w:rPr>
        <w:t>第六条 行政事业单位项目建设管理费实行总额控制，分年度据实列支。总额控制数以项目审批部门批准的项目总投资（经批准的动态投资，不含项目建设管理费）扣除土地征用、迁移补偿等为取得或租用土地使用权而发生的费用为基数分档计算。具体计算方法见附件。</w:t>
      </w:r>
    </w:p>
    <w:p w14:paraId="5121E471" w14:textId="56784DF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C21B828">
          <v:shape id="_x0000_i1117" type="#_x0000_t75" style="width:20.25pt;height:17.25pt" o:ole="">
            <v:imagedata r:id="rId6" o:title=""/>
          </v:shape>
          <w:control r:id="rId34" w:name="DefaultOcxName27" w:shapeid="_x0000_i1117"/>
        </w:object>
      </w:r>
      <w:r w:rsidRPr="00A31514">
        <w:rPr>
          <w:rFonts w:ascii="宋体" w:eastAsia="宋体" w:hAnsi="宋体" w:cs="宋体" w:hint="eastAsia"/>
          <w:color w:val="000000"/>
          <w:kern w:val="0"/>
          <w:sz w:val="24"/>
          <w:szCs w:val="24"/>
        </w:rPr>
        <w:t>建设地点分散、点多面广、建设工期长以及使用新技术、新工艺等的项目，项目建设管理费确需超过上述开支标准的，中央级项目,应当事前</w:t>
      </w:r>
      <w:proofErr w:type="gramStart"/>
      <w:r w:rsidRPr="00A31514">
        <w:rPr>
          <w:rFonts w:ascii="宋体" w:eastAsia="宋体" w:hAnsi="宋体" w:cs="宋体" w:hint="eastAsia"/>
          <w:color w:val="000000"/>
          <w:kern w:val="0"/>
          <w:sz w:val="24"/>
          <w:szCs w:val="24"/>
        </w:rPr>
        <w:t>报项目</w:t>
      </w:r>
      <w:proofErr w:type="gramEnd"/>
      <w:r w:rsidRPr="00A31514">
        <w:rPr>
          <w:rFonts w:ascii="宋体" w:eastAsia="宋体" w:hAnsi="宋体" w:cs="宋体" w:hint="eastAsia"/>
          <w:color w:val="000000"/>
          <w:kern w:val="0"/>
          <w:sz w:val="24"/>
          <w:szCs w:val="24"/>
        </w:rPr>
        <w:t>主管部门审核批准，并报财政部备案，未经批准的，超标</w:t>
      </w:r>
      <w:proofErr w:type="gramStart"/>
      <w:r w:rsidRPr="00A31514">
        <w:rPr>
          <w:rFonts w:ascii="宋体" w:eastAsia="宋体" w:hAnsi="宋体" w:cs="宋体" w:hint="eastAsia"/>
          <w:color w:val="000000"/>
          <w:kern w:val="0"/>
          <w:sz w:val="24"/>
          <w:szCs w:val="24"/>
        </w:rPr>
        <w:t>准发生</w:t>
      </w:r>
      <w:proofErr w:type="gramEnd"/>
      <w:r w:rsidRPr="00A31514">
        <w:rPr>
          <w:rFonts w:ascii="宋体" w:eastAsia="宋体" w:hAnsi="宋体" w:cs="宋体" w:hint="eastAsia"/>
          <w:color w:val="000000"/>
          <w:kern w:val="0"/>
          <w:sz w:val="24"/>
          <w:szCs w:val="24"/>
        </w:rPr>
        <w:t>的项目建设管理费由项目建设单位用自有资金弥补；地方级项目，由同级财政部门确定审核批准的要求和程序。</w:t>
      </w:r>
    </w:p>
    <w:p w14:paraId="1C45AAE7" w14:textId="56F1289F"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74A2A0C8">
          <v:shape id="_x0000_i1116" type="#_x0000_t75" style="width:20.25pt;height:17.25pt" o:ole="">
            <v:imagedata r:id="rId6" o:title=""/>
          </v:shape>
          <w:control r:id="rId35" w:name="DefaultOcxName28" w:shapeid="_x0000_i1116"/>
        </w:object>
      </w:r>
      <w:r w:rsidRPr="00A31514">
        <w:rPr>
          <w:rFonts w:ascii="宋体" w:eastAsia="宋体" w:hAnsi="宋体" w:cs="宋体" w:hint="eastAsia"/>
          <w:color w:val="000000"/>
          <w:kern w:val="0"/>
          <w:sz w:val="24"/>
          <w:szCs w:val="24"/>
        </w:rPr>
        <w:t>施工现场管理人员津贴标准比照当地财政部门制定的差旅费标准执行；一般不得发生业务招待费，确需列支的，项目业务招待费支出应当严格按照国家有关规定执行，并不得超过项目建设管理费的5%。</w:t>
      </w:r>
    </w:p>
    <w:p w14:paraId="37BA3051" w14:textId="34F4DDEF"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DFF1916">
          <v:shape id="_x0000_i1115" type="#_x0000_t75" style="width:20.25pt;height:17.25pt" o:ole="">
            <v:imagedata r:id="rId6" o:title=""/>
          </v:shape>
          <w:control r:id="rId36" w:name="DefaultOcxName29" w:shapeid="_x0000_i1115"/>
        </w:object>
      </w:r>
      <w:r w:rsidRPr="00A31514">
        <w:rPr>
          <w:rFonts w:ascii="宋体" w:eastAsia="宋体" w:hAnsi="宋体" w:cs="宋体" w:hint="eastAsia"/>
          <w:color w:val="000000"/>
          <w:kern w:val="0"/>
          <w:sz w:val="24"/>
          <w:szCs w:val="24"/>
        </w:rPr>
        <w:t>第七条 使用财政资金的国有和国有控股企业的项目建设管理费，比照第六条规定执行。国有和国有控股企业经营性项目的项目资本中，财政资金所占比例未超过50%的项目建设管理费可不执行第六条规定。</w:t>
      </w:r>
    </w:p>
    <w:p w14:paraId="7CDC6971" w14:textId="09A87A96"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5E72215B">
          <v:shape id="_x0000_i1114" type="#_x0000_t75" style="width:20.25pt;height:17.25pt" o:ole="">
            <v:imagedata r:id="rId6" o:title=""/>
          </v:shape>
          <w:control r:id="rId37" w:name="DefaultOcxName30" w:shapeid="_x0000_i1114"/>
        </w:object>
      </w:r>
      <w:r w:rsidRPr="00A31514">
        <w:rPr>
          <w:rFonts w:ascii="宋体" w:eastAsia="宋体" w:hAnsi="宋体" w:cs="宋体" w:hint="eastAsia"/>
          <w:color w:val="000000"/>
          <w:kern w:val="0"/>
          <w:sz w:val="24"/>
          <w:szCs w:val="24"/>
        </w:rPr>
        <w:t>第八条  政府设立（或授权）、政府招标产生的代建制项目，代建管理费由同级财政部门根据代建内容和要求，按照不高于本规定项目建设管理费标准核定，计入项目建设成本。</w:t>
      </w:r>
    </w:p>
    <w:p w14:paraId="2EC601F9" w14:textId="3D099FFA"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5B767B05">
          <v:shape id="_x0000_i1113" type="#_x0000_t75" style="width:20.25pt;height:17.25pt" o:ole="">
            <v:imagedata r:id="rId6" o:title=""/>
          </v:shape>
          <w:control r:id="rId38" w:name="DefaultOcxName31" w:shapeid="_x0000_i1113"/>
        </w:object>
      </w:r>
      <w:r w:rsidRPr="00A31514">
        <w:rPr>
          <w:rFonts w:ascii="宋体" w:eastAsia="宋体" w:hAnsi="宋体" w:cs="宋体" w:hint="eastAsia"/>
          <w:color w:val="000000"/>
          <w:kern w:val="0"/>
          <w:sz w:val="24"/>
          <w:szCs w:val="24"/>
        </w:rPr>
        <w:t>实行代建制管理的项目，一般不得同时列支代建管理费和项目建设管理费，确需同时发生的，两项费用之和不得高于本规定的项目建设管理费限额。</w:t>
      </w:r>
    </w:p>
    <w:p w14:paraId="7D4672EA" w14:textId="73EE3770"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6B5A5C49">
          <v:shape id="_x0000_i1112" type="#_x0000_t75" style="width:20.25pt;height:17.25pt" o:ole="">
            <v:imagedata r:id="rId6" o:title=""/>
          </v:shape>
          <w:control r:id="rId39" w:name="DefaultOcxName32" w:shapeid="_x0000_i1112"/>
        </w:object>
      </w:r>
      <w:r w:rsidRPr="00A31514">
        <w:rPr>
          <w:rFonts w:ascii="宋体" w:eastAsia="宋体" w:hAnsi="宋体" w:cs="宋体" w:hint="eastAsia"/>
          <w:color w:val="000000"/>
          <w:kern w:val="0"/>
          <w:sz w:val="24"/>
          <w:szCs w:val="24"/>
        </w:rPr>
        <w:t>建设地点分散、点多面广以及使用新技术、新工艺等的项目，代建管理费确需超过本规定确定的开支标准的，行政单位和使用财政资金建设的事业单位中央项目,应当事前</w:t>
      </w:r>
      <w:proofErr w:type="gramStart"/>
      <w:r w:rsidRPr="00A31514">
        <w:rPr>
          <w:rFonts w:ascii="宋体" w:eastAsia="宋体" w:hAnsi="宋体" w:cs="宋体" w:hint="eastAsia"/>
          <w:color w:val="000000"/>
          <w:kern w:val="0"/>
          <w:sz w:val="24"/>
          <w:szCs w:val="24"/>
        </w:rPr>
        <w:t>报项目</w:t>
      </w:r>
      <w:proofErr w:type="gramEnd"/>
      <w:r w:rsidRPr="00A31514">
        <w:rPr>
          <w:rFonts w:ascii="宋体" w:eastAsia="宋体" w:hAnsi="宋体" w:cs="宋体" w:hint="eastAsia"/>
          <w:color w:val="000000"/>
          <w:kern w:val="0"/>
          <w:sz w:val="24"/>
          <w:szCs w:val="24"/>
        </w:rPr>
        <w:t>主管部门审核批准，并报财政部备案；地方项目，由同级财政部门确定审核批准的要求和程序。</w:t>
      </w:r>
    </w:p>
    <w:p w14:paraId="12B36376" w14:textId="4EC70E58"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49344D3">
          <v:shape id="_x0000_i1111" type="#_x0000_t75" style="width:20.25pt;height:17.25pt" o:ole="">
            <v:imagedata r:id="rId6" o:title=""/>
          </v:shape>
          <w:control r:id="rId40" w:name="DefaultOcxName33" w:shapeid="_x0000_i1111"/>
        </w:object>
      </w:r>
      <w:r w:rsidRPr="00A31514">
        <w:rPr>
          <w:rFonts w:ascii="宋体" w:eastAsia="宋体" w:hAnsi="宋体" w:cs="宋体" w:hint="eastAsia"/>
          <w:color w:val="000000"/>
          <w:kern w:val="0"/>
          <w:sz w:val="24"/>
          <w:szCs w:val="24"/>
        </w:rPr>
        <w:t>代建管理费核定和支付应当与工程进度、建设质量结合，与代建内容、代建绩效挂钩，实行奖优罚劣。同时满足按时完成项目代建任务、工程质量优良、项目投资控制在批准概算总投资范围3个条件的，可以支付代建单位利润或奖励资金，代建单位利润或奖励资金一般不得超过代建管理费的10%，需使用财政资金支付的，应当事前报同级财政部门审核批准；未完成代建任务的，应当扣减代建管理费。</w:t>
      </w:r>
    </w:p>
    <w:p w14:paraId="06FB6170" w14:textId="07720CFD"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20C40023">
          <v:shape id="_x0000_i1110" type="#_x0000_t75" style="width:20.25pt;height:17.25pt" o:ole="">
            <v:imagedata r:id="rId6" o:title=""/>
          </v:shape>
          <w:control r:id="rId41" w:name="DefaultOcxName34" w:shapeid="_x0000_i1110"/>
        </w:object>
      </w:r>
      <w:r w:rsidRPr="00A31514">
        <w:rPr>
          <w:rFonts w:ascii="宋体" w:eastAsia="宋体" w:hAnsi="宋体" w:cs="宋体" w:hint="eastAsia"/>
          <w:color w:val="000000"/>
          <w:kern w:val="0"/>
          <w:sz w:val="24"/>
          <w:szCs w:val="24"/>
        </w:rPr>
        <w:t>第九条　项目单项工程报废净损失计入待摊投资支出。</w:t>
      </w:r>
    </w:p>
    <w:p w14:paraId="74D5C8AC" w14:textId="2D04DE04"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A45FC02">
          <v:shape id="_x0000_i1109" type="#_x0000_t75" style="width:20.25pt;height:17.25pt" o:ole="">
            <v:imagedata r:id="rId6" o:title=""/>
          </v:shape>
          <w:control r:id="rId42" w:name="DefaultOcxName35" w:shapeid="_x0000_i1109"/>
        </w:object>
      </w:r>
      <w:r w:rsidRPr="00A31514">
        <w:rPr>
          <w:rFonts w:ascii="宋体" w:eastAsia="宋体" w:hAnsi="宋体" w:cs="宋体" w:hint="eastAsia"/>
          <w:color w:val="000000"/>
          <w:kern w:val="0"/>
          <w:sz w:val="24"/>
          <w:szCs w:val="24"/>
        </w:rPr>
        <w:t>单项工程报废应当经有关部门或专业机构鉴定。非经营性项目以及使用财政资金所占比例超过项目资本50%的经营性项目，发生的单项工程报废经鉴定后，</w:t>
      </w:r>
      <w:proofErr w:type="gramStart"/>
      <w:r w:rsidRPr="00A31514">
        <w:rPr>
          <w:rFonts w:ascii="宋体" w:eastAsia="宋体" w:hAnsi="宋体" w:cs="宋体" w:hint="eastAsia"/>
          <w:color w:val="000000"/>
          <w:kern w:val="0"/>
          <w:sz w:val="24"/>
          <w:szCs w:val="24"/>
        </w:rPr>
        <w:t>报项目</w:t>
      </w:r>
      <w:proofErr w:type="gramEnd"/>
      <w:r w:rsidRPr="00A31514">
        <w:rPr>
          <w:rFonts w:ascii="宋体" w:eastAsia="宋体" w:hAnsi="宋体" w:cs="宋体" w:hint="eastAsia"/>
          <w:color w:val="000000"/>
          <w:kern w:val="0"/>
          <w:sz w:val="24"/>
          <w:szCs w:val="24"/>
        </w:rPr>
        <w:t>竣工财务决算批复部门审核批准。</w:t>
      </w:r>
    </w:p>
    <w:p w14:paraId="48805729" w14:textId="57642590"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09E1A289">
          <v:shape id="_x0000_i1108" type="#_x0000_t75" style="width:20.25pt;height:17.25pt" o:ole="">
            <v:imagedata r:id="rId6" o:title=""/>
          </v:shape>
          <w:control r:id="rId43" w:name="DefaultOcxName36" w:shapeid="_x0000_i1108"/>
        </w:object>
      </w:r>
      <w:r w:rsidRPr="00A31514">
        <w:rPr>
          <w:rFonts w:ascii="宋体" w:eastAsia="宋体" w:hAnsi="宋体" w:cs="宋体" w:hint="eastAsia"/>
          <w:color w:val="000000"/>
          <w:kern w:val="0"/>
          <w:sz w:val="24"/>
          <w:szCs w:val="24"/>
        </w:rPr>
        <w:t>因设计单位、施工单位、供货单位等原因造成的单项工程报废损失，由责任单位承担。</w:t>
      </w:r>
    </w:p>
    <w:p w14:paraId="7E9C904A" w14:textId="41288A96"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30251206">
          <v:shape id="_x0000_i1107" type="#_x0000_t75" style="width:20.25pt;height:17.25pt" o:ole="">
            <v:imagedata r:id="rId6" o:title=""/>
          </v:shape>
          <w:control r:id="rId44" w:name="DefaultOcxName37" w:shapeid="_x0000_i1107"/>
        </w:object>
      </w:r>
      <w:r w:rsidRPr="00A31514">
        <w:rPr>
          <w:rFonts w:ascii="宋体" w:eastAsia="宋体" w:hAnsi="宋体" w:cs="宋体" w:hint="eastAsia"/>
          <w:color w:val="000000"/>
          <w:kern w:val="0"/>
          <w:sz w:val="24"/>
          <w:szCs w:val="24"/>
        </w:rPr>
        <w:t>第十条　其他投资支出是指项目建设单位按照批准的项目建设内容发生的房屋购置支出，基本畜禽、林木等的购置、饲养、培育支出，办公生活用家具、器具购置支出，软件研发及不能计入设备投资的软件购置等支出。</w:t>
      </w:r>
    </w:p>
    <w:p w14:paraId="57586343" w14:textId="50297A45" w:rsidR="00A31514" w:rsidRPr="00A31514" w:rsidRDefault="00A31514" w:rsidP="004C4BAD">
      <w:pPr>
        <w:widowControl/>
        <w:spacing w:before="100" w:beforeAutospacing="1" w:after="100" w:afterAutospacing="1" w:line="360" w:lineRule="auto"/>
        <w:ind w:firstLineChars="200" w:firstLine="480"/>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931491F">
          <v:shape id="_x0000_i1106" type="#_x0000_t75" style="width:20.25pt;height:17.25pt" o:ole="">
            <v:imagedata r:id="rId6" o:title=""/>
          </v:shape>
          <w:control r:id="rId45" w:name="DefaultOcxName38" w:shapeid="_x0000_i1106"/>
        </w:object>
      </w:r>
      <w:r w:rsidRPr="00A31514">
        <w:rPr>
          <w:rFonts w:ascii="宋体" w:eastAsia="宋体" w:hAnsi="宋体" w:cs="宋体" w:hint="eastAsia"/>
          <w:color w:val="000000"/>
          <w:kern w:val="0"/>
          <w:sz w:val="24"/>
          <w:szCs w:val="24"/>
        </w:rPr>
        <w:t>第十一条  本规定自2016年9月1日起施行。《财政部关于切实加强政府投资项目代建制财政财务管理有关问题的指导意见》(</w:t>
      </w:r>
      <w:proofErr w:type="gramStart"/>
      <w:r w:rsidRPr="00A31514">
        <w:rPr>
          <w:rFonts w:ascii="宋体" w:eastAsia="宋体" w:hAnsi="宋体" w:cs="宋体" w:hint="eastAsia"/>
          <w:color w:val="000000"/>
          <w:kern w:val="0"/>
          <w:sz w:val="24"/>
          <w:szCs w:val="24"/>
        </w:rPr>
        <w:t>财建〔2004〕</w:t>
      </w:r>
      <w:proofErr w:type="gramEnd"/>
      <w:r w:rsidRPr="00A31514">
        <w:rPr>
          <w:rFonts w:ascii="宋体" w:eastAsia="宋体" w:hAnsi="宋体" w:cs="宋体" w:hint="eastAsia"/>
          <w:color w:val="000000"/>
          <w:kern w:val="0"/>
          <w:sz w:val="24"/>
          <w:szCs w:val="24"/>
        </w:rPr>
        <w:t>300号)同时废止。</w:t>
      </w:r>
    </w:p>
    <w:p w14:paraId="74E4EF42" w14:textId="276F5B09"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object w:dxaOrig="1440" w:dyaOrig="1440" w14:anchorId="12CEF50B">
          <v:shape id="_x0000_i1105" type="#_x0000_t75" style="width:20.25pt;height:17.25pt" o:ole="">
            <v:imagedata r:id="rId6" o:title=""/>
          </v:shape>
          <w:control r:id="rId46" w:name="DefaultOcxName39" w:shapeid="_x0000_i1105"/>
        </w:object>
      </w:r>
    </w:p>
    <w:tbl>
      <w:tblPr>
        <w:tblW w:w="0" w:type="auto"/>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1642"/>
        <w:gridCol w:w="1016"/>
        <w:gridCol w:w="1217"/>
        <w:gridCol w:w="4415"/>
      </w:tblGrid>
      <w:tr w:rsidR="00A31514" w:rsidRPr="00A31514" w14:paraId="1F2111AA"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0DBBA2BA"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附件2</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725E74D6"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2CB5299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3D090C13"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r>
      <w:tr w:rsidR="00A31514" w:rsidRPr="00A31514" w14:paraId="312787CA" w14:textId="77777777" w:rsidTr="00A31514">
        <w:tc>
          <w:tcPr>
            <w:tcW w:w="10470" w:type="dxa"/>
            <w:gridSpan w:val="4"/>
            <w:tcBorders>
              <w:top w:val="outset" w:sz="6" w:space="0" w:color="000000"/>
              <w:left w:val="outset" w:sz="6" w:space="0" w:color="000000"/>
              <w:bottom w:val="outset" w:sz="6" w:space="0" w:color="000000"/>
              <w:right w:val="outset" w:sz="6" w:space="0" w:color="000000"/>
            </w:tcBorders>
            <w:noWrap/>
            <w:vAlign w:val="center"/>
            <w:hideMark/>
          </w:tcPr>
          <w:p w14:paraId="52AF7BA7" w14:textId="77777777" w:rsidR="00A31514" w:rsidRPr="00A31514" w:rsidRDefault="00A31514" w:rsidP="004C4BAD">
            <w:pPr>
              <w:widowControl/>
              <w:spacing w:before="100" w:beforeAutospacing="1" w:after="100" w:afterAutospacing="1" w:line="360" w:lineRule="auto"/>
              <w:jc w:val="center"/>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项目建设管理费总额控制数费率表</w:t>
            </w:r>
          </w:p>
        </w:tc>
      </w:tr>
      <w:tr w:rsidR="00A31514" w:rsidRPr="00A31514" w14:paraId="57965CFE"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54912D38"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60809934"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4082544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color w:val="000000"/>
                <w:kern w:val="0"/>
                <w:sz w:val="24"/>
                <w:szCs w:val="24"/>
              </w:rPr>
              <w:t> </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62E71ED3"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单位：万元</w:t>
            </w:r>
          </w:p>
        </w:tc>
      </w:tr>
      <w:tr w:rsidR="00A31514" w:rsidRPr="00A31514" w14:paraId="7C4B522F" w14:textId="77777777" w:rsidTr="00A31514">
        <w:tc>
          <w:tcPr>
            <w:tcW w:w="2070" w:type="dxa"/>
            <w:vMerge w:val="restart"/>
            <w:tcBorders>
              <w:top w:val="outset" w:sz="6" w:space="0" w:color="000000"/>
              <w:left w:val="outset" w:sz="6" w:space="0" w:color="000000"/>
              <w:bottom w:val="outset" w:sz="6" w:space="0" w:color="000000"/>
              <w:right w:val="outset" w:sz="6" w:space="0" w:color="000000"/>
            </w:tcBorders>
            <w:noWrap/>
            <w:vAlign w:val="center"/>
            <w:hideMark/>
          </w:tcPr>
          <w:p w14:paraId="3E7A5C08"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工程总概算</w:t>
            </w:r>
          </w:p>
        </w:tc>
        <w:tc>
          <w:tcPr>
            <w:tcW w:w="1275" w:type="dxa"/>
            <w:vMerge w:val="restart"/>
            <w:tcBorders>
              <w:top w:val="outset" w:sz="6" w:space="0" w:color="000000"/>
              <w:left w:val="outset" w:sz="6" w:space="0" w:color="000000"/>
              <w:bottom w:val="outset" w:sz="6" w:space="0" w:color="000000"/>
              <w:right w:val="outset" w:sz="6" w:space="0" w:color="000000"/>
            </w:tcBorders>
            <w:noWrap/>
            <w:vAlign w:val="center"/>
            <w:hideMark/>
          </w:tcPr>
          <w:p w14:paraId="77297DFD"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费率(％)</w:t>
            </w:r>
          </w:p>
        </w:tc>
        <w:tc>
          <w:tcPr>
            <w:tcW w:w="7125" w:type="dxa"/>
            <w:gridSpan w:val="2"/>
            <w:tcBorders>
              <w:top w:val="outset" w:sz="6" w:space="0" w:color="000000"/>
              <w:left w:val="outset" w:sz="6" w:space="0" w:color="000000"/>
              <w:bottom w:val="outset" w:sz="6" w:space="0" w:color="000000"/>
              <w:right w:val="outset" w:sz="6" w:space="0" w:color="000000"/>
            </w:tcBorders>
            <w:noWrap/>
            <w:vAlign w:val="center"/>
            <w:hideMark/>
          </w:tcPr>
          <w:p w14:paraId="0DD34002"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算</w:t>
            </w:r>
            <w:r w:rsidRPr="00A31514">
              <w:rPr>
                <w:rFonts w:ascii="宋体" w:eastAsia="宋体" w:hAnsi="宋体" w:cs="宋体"/>
                <w:color w:val="000000"/>
                <w:kern w:val="0"/>
                <w:sz w:val="24"/>
                <w:szCs w:val="24"/>
              </w:rPr>
              <w:t>   </w:t>
            </w:r>
            <w:r w:rsidRPr="00A31514">
              <w:rPr>
                <w:rFonts w:ascii="宋体" w:eastAsia="宋体" w:hAnsi="宋体" w:cs="宋体" w:hint="eastAsia"/>
                <w:color w:val="000000"/>
                <w:kern w:val="0"/>
                <w:sz w:val="24"/>
                <w:szCs w:val="24"/>
              </w:rPr>
              <w:t xml:space="preserve"> 例</w:t>
            </w:r>
          </w:p>
        </w:tc>
      </w:tr>
      <w:tr w:rsidR="00A31514" w:rsidRPr="00A31514" w14:paraId="5E4258FD" w14:textId="77777777" w:rsidTr="00A31514">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09CBD86" w14:textId="77777777" w:rsidR="00A31514" w:rsidRPr="00A31514" w:rsidRDefault="00A31514" w:rsidP="004C4BAD">
            <w:pPr>
              <w:widowControl/>
              <w:spacing w:line="360" w:lineRule="auto"/>
              <w:jc w:val="left"/>
              <w:rPr>
                <w:rFonts w:ascii="宋体" w:eastAsia="宋体" w:hAnsi="宋体" w:cs="宋体"/>
                <w:color w:val="000000"/>
                <w:kern w:val="0"/>
                <w:sz w:val="24"/>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481F9F9C" w14:textId="77777777" w:rsidR="00A31514" w:rsidRPr="00A31514" w:rsidRDefault="00A31514" w:rsidP="004C4BAD">
            <w:pPr>
              <w:widowControl/>
              <w:spacing w:line="360" w:lineRule="auto"/>
              <w:jc w:val="left"/>
              <w:rPr>
                <w:rFonts w:ascii="宋体" w:eastAsia="宋体" w:hAnsi="宋体" w:cs="宋体"/>
                <w:color w:val="000000"/>
                <w:kern w:val="0"/>
                <w:sz w:val="24"/>
                <w:szCs w:val="24"/>
              </w:rPr>
            </w:pP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003B0D1A"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工程总概算</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7472415C"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项目建设管理费</w:t>
            </w:r>
          </w:p>
        </w:tc>
      </w:tr>
      <w:tr w:rsidR="00A31514" w:rsidRPr="00A31514" w14:paraId="4B814486"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325CBFCC"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1000以下</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2B36BF7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2</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6E5B0CB8"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3603D14D"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1000×2％＝20</w:t>
            </w:r>
          </w:p>
        </w:tc>
      </w:tr>
      <w:tr w:rsidR="00A31514" w:rsidRPr="00A31514" w14:paraId="1749A8EA"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392EA272"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1001－5000</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4D1ABA1E"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1.5</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1562EE69"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5000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0F610000"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20＋(5000－1000)×1.5％＝80</w:t>
            </w:r>
          </w:p>
        </w:tc>
      </w:tr>
      <w:tr w:rsidR="00A31514" w:rsidRPr="00A31514" w14:paraId="22FDDB25"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7FE1D339"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5001－10000</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1571371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1.2</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335AE06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405F4C4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80＋(10000－5000)×1.2％＝140</w:t>
            </w:r>
          </w:p>
        </w:tc>
      </w:tr>
      <w:tr w:rsidR="00A31514" w:rsidRPr="00A31514" w14:paraId="7CABF9C5"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7FCCD96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10001－50000</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70BC4E4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031302BC"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50000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0B5CA82A"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140＋(50000－10000)×1％＝540</w:t>
            </w:r>
          </w:p>
        </w:tc>
      </w:tr>
      <w:tr w:rsidR="00A31514" w:rsidRPr="00A31514" w14:paraId="15EDA1D2"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6C99F95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50001－100000</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69FF2FD5"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0.8</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7DDAE54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5199D783"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540＋(100000－50000)×0.8％＝940</w:t>
            </w:r>
          </w:p>
        </w:tc>
      </w:tr>
      <w:tr w:rsidR="00A31514" w:rsidRPr="00A31514" w14:paraId="4E44BAB2" w14:textId="77777777" w:rsidTr="00A31514">
        <w:tc>
          <w:tcPr>
            <w:tcW w:w="2070" w:type="dxa"/>
            <w:tcBorders>
              <w:top w:val="outset" w:sz="6" w:space="0" w:color="000000"/>
              <w:left w:val="outset" w:sz="6" w:space="0" w:color="000000"/>
              <w:bottom w:val="outset" w:sz="6" w:space="0" w:color="000000"/>
              <w:right w:val="outset" w:sz="6" w:space="0" w:color="000000"/>
            </w:tcBorders>
            <w:noWrap/>
            <w:vAlign w:val="center"/>
            <w:hideMark/>
          </w:tcPr>
          <w:p w14:paraId="5865B7F9"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100000以上</w:t>
            </w:r>
          </w:p>
        </w:tc>
        <w:tc>
          <w:tcPr>
            <w:tcW w:w="1275" w:type="dxa"/>
            <w:tcBorders>
              <w:top w:val="outset" w:sz="6" w:space="0" w:color="000000"/>
              <w:left w:val="outset" w:sz="6" w:space="0" w:color="000000"/>
              <w:bottom w:val="outset" w:sz="6" w:space="0" w:color="000000"/>
              <w:right w:val="outset" w:sz="6" w:space="0" w:color="000000"/>
            </w:tcBorders>
            <w:noWrap/>
            <w:vAlign w:val="center"/>
            <w:hideMark/>
          </w:tcPr>
          <w:p w14:paraId="514FBE9F"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0.4</w:t>
            </w:r>
          </w:p>
        </w:tc>
        <w:tc>
          <w:tcPr>
            <w:tcW w:w="1530" w:type="dxa"/>
            <w:tcBorders>
              <w:top w:val="outset" w:sz="6" w:space="0" w:color="000000"/>
              <w:left w:val="outset" w:sz="6" w:space="0" w:color="000000"/>
              <w:bottom w:val="outset" w:sz="6" w:space="0" w:color="000000"/>
              <w:right w:val="outset" w:sz="6" w:space="0" w:color="000000"/>
            </w:tcBorders>
            <w:noWrap/>
            <w:vAlign w:val="center"/>
            <w:hideMark/>
          </w:tcPr>
          <w:p w14:paraId="7B50BA91"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200000</w:t>
            </w:r>
          </w:p>
        </w:tc>
        <w:tc>
          <w:tcPr>
            <w:tcW w:w="5580" w:type="dxa"/>
            <w:tcBorders>
              <w:top w:val="outset" w:sz="6" w:space="0" w:color="000000"/>
              <w:left w:val="outset" w:sz="6" w:space="0" w:color="000000"/>
              <w:bottom w:val="outset" w:sz="6" w:space="0" w:color="000000"/>
              <w:right w:val="outset" w:sz="6" w:space="0" w:color="000000"/>
            </w:tcBorders>
            <w:noWrap/>
            <w:vAlign w:val="center"/>
            <w:hideMark/>
          </w:tcPr>
          <w:p w14:paraId="63124097" w14:textId="77777777" w:rsidR="00A31514" w:rsidRPr="00A31514" w:rsidRDefault="00A31514" w:rsidP="004C4BAD">
            <w:pPr>
              <w:widowControl/>
              <w:spacing w:before="100" w:beforeAutospacing="1" w:after="100" w:afterAutospacing="1" w:line="360" w:lineRule="auto"/>
              <w:jc w:val="left"/>
              <w:rPr>
                <w:rFonts w:ascii="宋体" w:eastAsia="宋体" w:hAnsi="宋体" w:cs="宋体"/>
                <w:color w:val="000000"/>
                <w:kern w:val="0"/>
                <w:sz w:val="24"/>
                <w:szCs w:val="24"/>
              </w:rPr>
            </w:pPr>
            <w:r w:rsidRPr="00A31514">
              <w:rPr>
                <w:rFonts w:ascii="宋体" w:eastAsia="宋体" w:hAnsi="宋体" w:cs="宋体" w:hint="eastAsia"/>
                <w:color w:val="000000"/>
                <w:kern w:val="0"/>
                <w:sz w:val="24"/>
                <w:szCs w:val="24"/>
              </w:rPr>
              <w:t>940＋(200000－100000)×0.4％＝1340</w:t>
            </w:r>
          </w:p>
        </w:tc>
      </w:tr>
    </w:tbl>
    <w:p w14:paraId="45F4D5FD" w14:textId="77777777" w:rsidR="00AE68DB" w:rsidRPr="004C4BAD" w:rsidRDefault="00AE68DB" w:rsidP="004C4BAD">
      <w:pPr>
        <w:spacing w:line="360" w:lineRule="auto"/>
        <w:rPr>
          <w:rFonts w:ascii="宋体" w:eastAsia="宋体" w:hAnsi="宋体"/>
          <w:sz w:val="24"/>
          <w:szCs w:val="24"/>
        </w:rPr>
      </w:pPr>
    </w:p>
    <w:sectPr w:rsidR="00AE68DB" w:rsidRPr="004C4B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A632C" w14:textId="77777777" w:rsidR="00A31514" w:rsidRDefault="00A31514" w:rsidP="00A31514">
      <w:r>
        <w:separator/>
      </w:r>
    </w:p>
  </w:endnote>
  <w:endnote w:type="continuationSeparator" w:id="0">
    <w:p w14:paraId="38C66570" w14:textId="77777777" w:rsidR="00A31514" w:rsidRDefault="00A31514" w:rsidP="00A3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E1158" w14:textId="77777777" w:rsidR="00A31514" w:rsidRDefault="00A31514" w:rsidP="00A31514">
      <w:r>
        <w:separator/>
      </w:r>
    </w:p>
  </w:footnote>
  <w:footnote w:type="continuationSeparator" w:id="0">
    <w:p w14:paraId="6C1A99D5" w14:textId="77777777" w:rsidR="00A31514" w:rsidRDefault="00A31514" w:rsidP="00A315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E22"/>
    <w:rsid w:val="004C4BAD"/>
    <w:rsid w:val="00A31514"/>
    <w:rsid w:val="00AE68DB"/>
    <w:rsid w:val="00C11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CB29B22-1ED3-41B1-9D54-6E0D8709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151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31514"/>
    <w:rPr>
      <w:sz w:val="18"/>
      <w:szCs w:val="18"/>
    </w:rPr>
  </w:style>
  <w:style w:type="paragraph" w:styleId="a5">
    <w:name w:val="footer"/>
    <w:basedOn w:val="a"/>
    <w:link w:val="a6"/>
    <w:uiPriority w:val="99"/>
    <w:unhideWhenUsed/>
    <w:rsid w:val="00A31514"/>
    <w:pPr>
      <w:tabs>
        <w:tab w:val="center" w:pos="4153"/>
        <w:tab w:val="right" w:pos="8306"/>
      </w:tabs>
      <w:snapToGrid w:val="0"/>
      <w:jc w:val="left"/>
    </w:pPr>
    <w:rPr>
      <w:sz w:val="18"/>
      <w:szCs w:val="18"/>
    </w:rPr>
  </w:style>
  <w:style w:type="character" w:customStyle="1" w:styleId="a6">
    <w:name w:val="页脚 字符"/>
    <w:basedOn w:val="a0"/>
    <w:link w:val="a5"/>
    <w:uiPriority w:val="99"/>
    <w:rsid w:val="00A3151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838169">
      <w:bodyDiv w:val="1"/>
      <w:marLeft w:val="0"/>
      <w:marRight w:val="0"/>
      <w:marTop w:val="0"/>
      <w:marBottom w:val="0"/>
      <w:divBdr>
        <w:top w:val="none" w:sz="0" w:space="0" w:color="auto"/>
        <w:left w:val="none" w:sz="0" w:space="0" w:color="auto"/>
        <w:bottom w:val="none" w:sz="0" w:space="0" w:color="auto"/>
        <w:right w:val="none" w:sz="0" w:space="0" w:color="auto"/>
      </w:divBdr>
      <w:divsChild>
        <w:div w:id="1888637315">
          <w:marLeft w:val="0"/>
          <w:marRight w:val="0"/>
          <w:marTop w:val="0"/>
          <w:marBottom w:val="0"/>
          <w:divBdr>
            <w:top w:val="none" w:sz="0" w:space="0" w:color="auto"/>
            <w:left w:val="none" w:sz="0" w:space="0" w:color="auto"/>
            <w:bottom w:val="none" w:sz="0" w:space="0" w:color="auto"/>
            <w:right w:val="none" w:sz="0" w:space="0" w:color="auto"/>
          </w:divBdr>
          <w:divsChild>
            <w:div w:id="148527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26" Type="http://schemas.openxmlformats.org/officeDocument/2006/relationships/control" Target="activeX/activeX20.xml"/><Relationship Id="rId39" Type="http://schemas.openxmlformats.org/officeDocument/2006/relationships/control" Target="activeX/activeX33.xml"/><Relationship Id="rId3" Type="http://schemas.openxmlformats.org/officeDocument/2006/relationships/webSettings" Target="webSettings.xml"/><Relationship Id="rId21" Type="http://schemas.openxmlformats.org/officeDocument/2006/relationships/control" Target="activeX/activeX15.xml"/><Relationship Id="rId34" Type="http://schemas.openxmlformats.org/officeDocument/2006/relationships/control" Target="activeX/activeX28.xml"/><Relationship Id="rId42" Type="http://schemas.openxmlformats.org/officeDocument/2006/relationships/control" Target="activeX/activeX36.xml"/><Relationship Id="rId47" Type="http://schemas.openxmlformats.org/officeDocument/2006/relationships/fontTable" Target="fontTable.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5" Type="http://schemas.openxmlformats.org/officeDocument/2006/relationships/control" Target="activeX/activeX19.xml"/><Relationship Id="rId33" Type="http://schemas.openxmlformats.org/officeDocument/2006/relationships/control" Target="activeX/activeX27.xml"/><Relationship Id="rId38" Type="http://schemas.openxmlformats.org/officeDocument/2006/relationships/control" Target="activeX/activeX32.xml"/><Relationship Id="rId46" Type="http://schemas.openxmlformats.org/officeDocument/2006/relationships/control" Target="activeX/activeX40.xml"/><Relationship Id="rId2" Type="http://schemas.openxmlformats.org/officeDocument/2006/relationships/settings" Target="settings.xml"/><Relationship Id="rId16" Type="http://schemas.openxmlformats.org/officeDocument/2006/relationships/control" Target="activeX/activeX10.xml"/><Relationship Id="rId20" Type="http://schemas.openxmlformats.org/officeDocument/2006/relationships/control" Target="activeX/activeX14.xml"/><Relationship Id="rId29" Type="http://schemas.openxmlformats.org/officeDocument/2006/relationships/control" Target="activeX/activeX23.xml"/><Relationship Id="rId41" Type="http://schemas.openxmlformats.org/officeDocument/2006/relationships/control" Target="activeX/activeX35.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24" Type="http://schemas.openxmlformats.org/officeDocument/2006/relationships/control" Target="activeX/activeX18.xml"/><Relationship Id="rId32" Type="http://schemas.openxmlformats.org/officeDocument/2006/relationships/control" Target="activeX/activeX26.xml"/><Relationship Id="rId37" Type="http://schemas.openxmlformats.org/officeDocument/2006/relationships/control" Target="activeX/activeX31.xml"/><Relationship Id="rId40" Type="http://schemas.openxmlformats.org/officeDocument/2006/relationships/control" Target="activeX/activeX34.xml"/><Relationship Id="rId45" Type="http://schemas.openxmlformats.org/officeDocument/2006/relationships/control" Target="activeX/activeX39.xml"/><Relationship Id="rId5" Type="http://schemas.openxmlformats.org/officeDocument/2006/relationships/endnotes" Target="endnotes.xml"/><Relationship Id="rId15" Type="http://schemas.openxmlformats.org/officeDocument/2006/relationships/control" Target="activeX/activeX9.xml"/><Relationship Id="rId23" Type="http://schemas.openxmlformats.org/officeDocument/2006/relationships/control" Target="activeX/activeX17.xml"/><Relationship Id="rId28" Type="http://schemas.openxmlformats.org/officeDocument/2006/relationships/control" Target="activeX/activeX22.xml"/><Relationship Id="rId36" Type="http://schemas.openxmlformats.org/officeDocument/2006/relationships/control" Target="activeX/activeX30.xml"/><Relationship Id="rId10" Type="http://schemas.openxmlformats.org/officeDocument/2006/relationships/control" Target="activeX/activeX4.xml"/><Relationship Id="rId19" Type="http://schemas.openxmlformats.org/officeDocument/2006/relationships/control" Target="activeX/activeX13.xml"/><Relationship Id="rId31" Type="http://schemas.openxmlformats.org/officeDocument/2006/relationships/control" Target="activeX/activeX25.xml"/><Relationship Id="rId44" Type="http://schemas.openxmlformats.org/officeDocument/2006/relationships/control" Target="activeX/activeX38.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8.xml"/><Relationship Id="rId22" Type="http://schemas.openxmlformats.org/officeDocument/2006/relationships/control" Target="activeX/activeX16.xml"/><Relationship Id="rId27" Type="http://schemas.openxmlformats.org/officeDocument/2006/relationships/control" Target="activeX/activeX21.xml"/><Relationship Id="rId30" Type="http://schemas.openxmlformats.org/officeDocument/2006/relationships/control" Target="activeX/activeX24.xml"/><Relationship Id="rId35" Type="http://schemas.openxmlformats.org/officeDocument/2006/relationships/control" Target="activeX/activeX29.xml"/><Relationship Id="rId43" Type="http://schemas.openxmlformats.org/officeDocument/2006/relationships/control" Target="activeX/activeX37.xml"/><Relationship Id="rId48"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浙江省成套招标代理有限公司</dc:creator>
  <cp:keywords/>
  <dc:description/>
  <cp:lastModifiedBy>浙江省成套招标代理有限公司</cp:lastModifiedBy>
  <cp:revision>3</cp:revision>
  <cp:lastPrinted>2019-03-11T12:10:00Z</cp:lastPrinted>
  <dcterms:created xsi:type="dcterms:W3CDTF">2019-03-11T12:08:00Z</dcterms:created>
  <dcterms:modified xsi:type="dcterms:W3CDTF">2019-03-11T12:10:00Z</dcterms:modified>
</cp:coreProperties>
</file>