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F4D" w:rsidRPr="00B00F4D" w:rsidRDefault="00B00F4D" w:rsidP="00B00F4D">
      <w:pPr>
        <w:widowControl/>
        <w:spacing w:before="100" w:beforeAutospacing="1" w:after="100" w:afterAutospacing="1"/>
        <w:ind w:left="120"/>
        <w:jc w:val="center"/>
        <w:rPr>
          <w:rFonts w:ascii="宋体" w:eastAsia="宋体" w:hAnsi="宋体" w:cs="宋体"/>
          <w:color w:val="FF0000"/>
          <w:kern w:val="0"/>
          <w:sz w:val="72"/>
          <w:szCs w:val="72"/>
        </w:rPr>
      </w:pPr>
      <w:r w:rsidRPr="00B00F4D">
        <w:rPr>
          <w:rFonts w:ascii="宋体" w:eastAsia="宋体" w:hAnsi="宋体" w:cs="宋体"/>
          <w:color w:val="FF0000"/>
          <w:kern w:val="0"/>
          <w:sz w:val="72"/>
          <w:szCs w:val="72"/>
        </w:rPr>
        <w:t xml:space="preserve">中华人民共和国国家计划委员会 </w:t>
      </w:r>
    </w:p>
    <w:p w:rsidR="00B00F4D" w:rsidRPr="00B00F4D" w:rsidRDefault="00B00F4D" w:rsidP="00B00F4D">
      <w:pPr>
        <w:widowControl/>
        <w:spacing w:before="100" w:beforeAutospacing="1" w:after="100" w:afterAutospacing="1"/>
        <w:ind w:left="120"/>
        <w:jc w:val="center"/>
        <w:rPr>
          <w:rFonts w:ascii="宋体" w:eastAsia="宋体" w:hAnsi="宋体" w:cs="宋体"/>
          <w:kern w:val="0"/>
          <w:sz w:val="18"/>
          <w:szCs w:val="18"/>
        </w:rPr>
      </w:pPr>
      <w:r w:rsidRPr="00B00F4D">
        <w:rPr>
          <w:rFonts w:ascii="宋体" w:eastAsia="宋体" w:hAnsi="宋体" w:cs="宋体"/>
          <w:kern w:val="0"/>
          <w:sz w:val="18"/>
          <w:szCs w:val="18"/>
        </w:rPr>
        <w:t xml:space="preserve">[计价格 ［2002］1980号] </w:t>
      </w:r>
    </w:p>
    <w:p w:rsidR="00B00F4D" w:rsidRPr="00B00F4D" w:rsidRDefault="00B00F4D" w:rsidP="00B00F4D">
      <w:pPr>
        <w:widowControl/>
        <w:spacing w:before="100" w:beforeAutospacing="1" w:after="100" w:afterAutospacing="1"/>
        <w:ind w:left="120"/>
        <w:jc w:val="center"/>
        <w:rPr>
          <w:rFonts w:ascii="宋体" w:eastAsia="宋体" w:hAnsi="宋体" w:cs="宋体"/>
          <w:b/>
          <w:bCs/>
          <w:kern w:val="0"/>
          <w:sz w:val="18"/>
          <w:szCs w:val="18"/>
        </w:rPr>
      </w:pPr>
      <w:r w:rsidRPr="00B00F4D">
        <w:rPr>
          <w:rFonts w:ascii="宋体" w:eastAsia="宋体" w:hAnsi="宋体" w:cs="宋体"/>
          <w:b/>
          <w:bCs/>
          <w:kern w:val="0"/>
          <w:sz w:val="18"/>
          <w:szCs w:val="18"/>
        </w:rPr>
        <w:t>招标代理服务收费管理暂行办法</w:t>
      </w:r>
    </w:p>
    <w:p w:rsidR="00B00F4D" w:rsidRPr="00B00F4D" w:rsidRDefault="00B00F4D" w:rsidP="00B00F4D">
      <w:pPr>
        <w:widowControl/>
        <w:spacing w:before="100" w:beforeAutospacing="1" w:after="100" w:afterAutospacing="1"/>
        <w:ind w:left="120"/>
        <w:jc w:val="center"/>
        <w:rPr>
          <w:rFonts w:ascii="宋体" w:eastAsia="宋体" w:hAnsi="宋体" w:cs="宋体"/>
          <w:kern w:val="0"/>
          <w:sz w:val="18"/>
          <w:szCs w:val="18"/>
        </w:rPr>
      </w:pPr>
      <w:r w:rsidRPr="00B00F4D">
        <w:rPr>
          <w:rFonts w:ascii="宋体" w:eastAsia="宋体" w:hAnsi="宋体" w:cs="宋体"/>
          <w:kern w:val="0"/>
          <w:sz w:val="18"/>
          <w:szCs w:val="18"/>
        </w:rPr>
        <w:t> (2002-10-15发布)</w:t>
      </w:r>
    </w:p>
    <w:p w:rsidR="00B00F4D" w:rsidRPr="00B00F4D" w:rsidRDefault="00B00F4D" w:rsidP="00B00F4D">
      <w:pPr>
        <w:widowControl/>
        <w:spacing w:before="100" w:beforeAutospacing="1" w:after="100" w:afterAutospacing="1"/>
        <w:ind w:left="120"/>
        <w:jc w:val="left"/>
        <w:rPr>
          <w:rFonts w:ascii="宋体" w:eastAsia="宋体" w:hAnsi="宋体" w:cs="宋体"/>
          <w:kern w:val="0"/>
          <w:sz w:val="18"/>
          <w:szCs w:val="18"/>
        </w:rPr>
      </w:pPr>
      <w:r w:rsidRPr="00B00F4D">
        <w:rPr>
          <w:rFonts w:ascii="宋体" w:eastAsia="宋体" w:hAnsi="宋体" w:cs="宋体"/>
          <w:kern w:val="0"/>
          <w:sz w:val="18"/>
          <w:szCs w:val="18"/>
        </w:rPr>
        <w:t>     第一条 为规范招标代理服务收费行为，维护招标人、投标人和招标代理机构的合法权益，根据《中华人民共和国价格法》、《中华人民共和国招标投标法》及有关法律、行政法规，制定本办法。</w:t>
      </w:r>
      <w:r w:rsidRPr="00B00F4D">
        <w:rPr>
          <w:rFonts w:ascii="宋体" w:eastAsia="宋体" w:hAnsi="宋体" w:cs="宋体"/>
          <w:kern w:val="0"/>
          <w:sz w:val="18"/>
          <w:szCs w:val="18"/>
        </w:rPr>
        <w:br/>
        <w:t>    第二条 中华人民共和国境内发生的各类招标代理服务的收费行为，适用本办法。</w:t>
      </w:r>
      <w:r w:rsidRPr="00B00F4D">
        <w:rPr>
          <w:rFonts w:ascii="宋体" w:eastAsia="宋体" w:hAnsi="宋体" w:cs="宋体"/>
          <w:kern w:val="0"/>
          <w:sz w:val="18"/>
          <w:szCs w:val="18"/>
        </w:rPr>
        <w:br/>
        <w:t>    第三条 本办法所称招标代理服务收费，是指招标代理机构接受招标人委托，从事编制招标文件（包括编制资格预审文件和标底），审查投标人资格，组织投标人踏勘现场并答疑，组织开标、评标、定标，以及提供招标前期咨询、协调合同的签订等业务所收取的费用。</w:t>
      </w:r>
      <w:r w:rsidRPr="00B00F4D">
        <w:rPr>
          <w:rFonts w:ascii="宋体" w:eastAsia="宋体" w:hAnsi="宋体" w:cs="宋体"/>
          <w:kern w:val="0"/>
          <w:sz w:val="18"/>
          <w:szCs w:val="18"/>
        </w:rPr>
        <w:br/>
        <w:t>    第四条 招标代理机构从事招标代理业务并收取服务费用的，必须符合《中华人民共和国招标投标法》第十三条、第十四条规定的条件，具备独立法人资格和相应资质。</w:t>
      </w:r>
      <w:r w:rsidRPr="00B00F4D">
        <w:rPr>
          <w:rFonts w:ascii="宋体" w:eastAsia="宋体" w:hAnsi="宋体" w:cs="宋体"/>
          <w:kern w:val="0"/>
          <w:sz w:val="18"/>
          <w:szCs w:val="18"/>
        </w:rPr>
        <w:br/>
        <w:t>    第五条 招标代理机构应当在招标人委托的范围内办理招标事宜，遵守国家法律、法规及政策规定，符合招标人的技术、质量要求。</w:t>
      </w:r>
      <w:r w:rsidRPr="00B00F4D">
        <w:rPr>
          <w:rFonts w:ascii="宋体" w:eastAsia="宋体" w:hAnsi="宋体" w:cs="宋体"/>
          <w:kern w:val="0"/>
          <w:sz w:val="18"/>
          <w:szCs w:val="18"/>
        </w:rPr>
        <w:br/>
        <w:t>    第六条 招标代理服务应当遵循公开、公正、平等、自愿、有偿的原则。严格禁止任何单位和个人为招标人强制指定招标代理机构或强制具有自行招标资格的单位接受代理并收取费用。</w:t>
      </w:r>
      <w:r w:rsidRPr="00B00F4D">
        <w:rPr>
          <w:rFonts w:ascii="宋体" w:eastAsia="宋体" w:hAnsi="宋体" w:cs="宋体"/>
          <w:kern w:val="0"/>
          <w:sz w:val="18"/>
          <w:szCs w:val="18"/>
        </w:rPr>
        <w:br/>
        <w:t>    第七条 招标代理服务收费按照招标代理业务性质分为：</w:t>
      </w:r>
      <w:r w:rsidRPr="00B00F4D">
        <w:rPr>
          <w:rFonts w:ascii="宋体" w:eastAsia="宋体" w:hAnsi="宋体" w:cs="宋体"/>
          <w:kern w:val="0"/>
          <w:sz w:val="18"/>
          <w:szCs w:val="18"/>
        </w:rPr>
        <w:br/>
        <w:t>    （一）各类土木工程、建筑工程、设备安装、管道线路敷设、装饰装修等建设以及附带服务的工程招标代理服务收费。</w:t>
      </w:r>
      <w:r w:rsidRPr="00B00F4D">
        <w:rPr>
          <w:rFonts w:ascii="宋体" w:eastAsia="宋体" w:hAnsi="宋体" w:cs="宋体"/>
          <w:kern w:val="0"/>
          <w:sz w:val="18"/>
          <w:szCs w:val="18"/>
        </w:rPr>
        <w:br/>
        <w:t>    （二）原材料、产品、设备和固态、液态或气态物体和电力等货物及其附带服务的货物招标代理服务收费。</w:t>
      </w:r>
      <w:r w:rsidRPr="00B00F4D">
        <w:rPr>
          <w:rFonts w:ascii="宋体" w:eastAsia="宋体" w:hAnsi="宋体" w:cs="宋体"/>
          <w:kern w:val="0"/>
          <w:sz w:val="18"/>
          <w:szCs w:val="18"/>
        </w:rPr>
        <w:br/>
        <w:t>    （三）工程勘察、设计、咨询、监理，矿业权、土地使用权出让、转让和保险等工程和货物以外的服务招标代理服务收费。</w:t>
      </w:r>
      <w:r w:rsidRPr="00B00F4D">
        <w:rPr>
          <w:rFonts w:ascii="宋体" w:eastAsia="宋体" w:hAnsi="宋体" w:cs="宋体"/>
          <w:kern w:val="0"/>
          <w:sz w:val="18"/>
          <w:szCs w:val="18"/>
        </w:rPr>
        <w:br/>
        <w:t>    第八条 招标代理服务收费实行政府指导价。</w:t>
      </w:r>
      <w:r w:rsidRPr="00B00F4D">
        <w:rPr>
          <w:rFonts w:ascii="宋体" w:eastAsia="宋体" w:hAnsi="宋体" w:cs="宋体"/>
          <w:kern w:val="0"/>
          <w:sz w:val="18"/>
          <w:szCs w:val="18"/>
        </w:rPr>
        <w:br/>
        <w:t>    第九条 招标代理服务收费采用差额定率累进计费方式。收费标准按本办法附件规定执行，上下浮动幅度不超过20％。具体收费额由招标代理机构和招标委托人在规定的收费标准和浮动幅度内协商确定。</w:t>
      </w:r>
      <w:r w:rsidRPr="00B00F4D">
        <w:rPr>
          <w:rFonts w:ascii="宋体" w:eastAsia="宋体" w:hAnsi="宋体" w:cs="宋体"/>
          <w:kern w:val="0"/>
          <w:sz w:val="18"/>
          <w:szCs w:val="18"/>
        </w:rPr>
        <w:br/>
        <w:t>    第十条 招标代理服务实行"谁委托谁付费"。</w:t>
      </w:r>
      <w:r w:rsidRPr="00B00F4D">
        <w:rPr>
          <w:rFonts w:ascii="宋体" w:eastAsia="宋体" w:hAnsi="宋体" w:cs="宋体"/>
          <w:kern w:val="0"/>
          <w:sz w:val="18"/>
          <w:szCs w:val="18"/>
        </w:rPr>
        <w:br/>
        <w:t>    工程招标委托人支付的招标代理服务费，可计入工程前期费用。</w:t>
      </w:r>
      <w:r w:rsidRPr="0053739D">
        <w:rPr>
          <w:rFonts w:ascii="宋体" w:eastAsia="宋体" w:hAnsi="宋体" w:cs="宋体"/>
          <w:color w:val="FF0000"/>
          <w:kern w:val="0"/>
          <w:sz w:val="18"/>
          <w:szCs w:val="18"/>
        </w:rPr>
        <w:t>货物招标和服务招标委托人支付的招标代理服务费，按照财政部门规定列支。</w:t>
      </w:r>
      <w:r w:rsidRPr="00B00F4D">
        <w:rPr>
          <w:rFonts w:ascii="宋体" w:eastAsia="宋体" w:hAnsi="宋体" w:cs="宋体"/>
          <w:kern w:val="0"/>
          <w:sz w:val="18"/>
          <w:szCs w:val="18"/>
        </w:rPr>
        <w:br/>
        <w:t>    第十一条 招标代理机构按规定收取代理费用和出售招标文件后，不得再要求招标委托人无偿提供食宿、交通等或收取其他费用。</w:t>
      </w:r>
      <w:r w:rsidRPr="00B00F4D">
        <w:rPr>
          <w:rFonts w:ascii="宋体" w:eastAsia="宋体" w:hAnsi="宋体" w:cs="宋体"/>
          <w:kern w:val="0"/>
          <w:sz w:val="18"/>
          <w:szCs w:val="18"/>
        </w:rPr>
        <w:br/>
        <w:t>    第十二条 招标代理业务中有超过本办法第三条规定的要求的，招标代理机构可与招标委托人就所增加的工作量，另行协商确定服务费用。</w:t>
      </w:r>
      <w:r w:rsidRPr="00B00F4D">
        <w:rPr>
          <w:rFonts w:ascii="宋体" w:eastAsia="宋体" w:hAnsi="宋体" w:cs="宋体"/>
          <w:kern w:val="0"/>
          <w:sz w:val="18"/>
          <w:szCs w:val="18"/>
        </w:rPr>
        <w:br/>
        <w:t>    第十三条 招标代理服务收费纠纷，依据《中华人民共和国价格法》、《中华人民共和国合同法》及其他有关法律、法规处理。</w:t>
      </w:r>
      <w:r w:rsidRPr="00B00F4D">
        <w:rPr>
          <w:rFonts w:ascii="宋体" w:eastAsia="宋体" w:hAnsi="宋体" w:cs="宋体"/>
          <w:kern w:val="0"/>
          <w:sz w:val="18"/>
          <w:szCs w:val="18"/>
        </w:rPr>
        <w:br/>
      </w:r>
      <w:r w:rsidRPr="00B00F4D">
        <w:rPr>
          <w:rFonts w:ascii="宋体" w:eastAsia="宋体" w:hAnsi="宋体" w:cs="宋体"/>
          <w:kern w:val="0"/>
          <w:sz w:val="18"/>
          <w:szCs w:val="18"/>
        </w:rPr>
        <w:lastRenderedPageBreak/>
        <w:t>    第十四条 各级政府有关部门或者其授权、委托的单位，按照国务院关于招标投标管理职能分工规定履行监督职能，要求招标投标当事人履行审批、备案及其他手续的，一律不得收费。</w:t>
      </w:r>
      <w:r w:rsidRPr="00B00F4D">
        <w:rPr>
          <w:rFonts w:ascii="宋体" w:eastAsia="宋体" w:hAnsi="宋体" w:cs="宋体"/>
          <w:kern w:val="0"/>
          <w:sz w:val="18"/>
          <w:szCs w:val="18"/>
        </w:rPr>
        <w:br/>
        <w:t>违反前款规定，擅自设立收费项目、制定收费标准以及收取管理性费用的，由政府价格主管部门予以处罚。</w:t>
      </w:r>
      <w:r w:rsidRPr="00B00F4D">
        <w:rPr>
          <w:rFonts w:ascii="宋体" w:eastAsia="宋体" w:hAnsi="宋体" w:cs="宋体"/>
          <w:kern w:val="0"/>
          <w:sz w:val="18"/>
          <w:szCs w:val="18"/>
        </w:rPr>
        <w:br/>
        <w:t>    第十五条 招标代理机构违反本办法规定的，由政府主管部门依据《中华人民共和国价格法》和《价格违法行为行政处罚规定》予以查处。</w:t>
      </w:r>
      <w:r w:rsidRPr="00B00F4D">
        <w:rPr>
          <w:rFonts w:ascii="宋体" w:eastAsia="宋体" w:hAnsi="宋体" w:cs="宋体"/>
          <w:kern w:val="0"/>
          <w:sz w:val="18"/>
          <w:szCs w:val="18"/>
        </w:rPr>
        <w:br/>
        <w:t>    第十六条 本办法由国家计委负责解释。</w:t>
      </w:r>
      <w:r w:rsidRPr="00B00F4D">
        <w:rPr>
          <w:rFonts w:ascii="宋体" w:eastAsia="宋体" w:hAnsi="宋体" w:cs="宋体"/>
          <w:kern w:val="0"/>
          <w:sz w:val="18"/>
          <w:szCs w:val="18"/>
        </w:rPr>
        <w:br/>
        <w:t>    第十七条 本办法自2003年1月 1日起执行。国家计委及有关部门、各省、自治区、直辖市价格主管部门制定的相关规定，凡与本办法相抵触的，自本办法生效之日起废止。             </w:t>
      </w:r>
    </w:p>
    <w:p w:rsidR="00BC71D4" w:rsidRDefault="00BC71D4">
      <w:pPr>
        <w:widowControl/>
        <w:jc w:val="left"/>
        <w:rPr>
          <w:rFonts w:ascii="宋体" w:eastAsia="宋体" w:hAnsi="宋体" w:cs="宋体"/>
          <w:kern w:val="0"/>
          <w:sz w:val="18"/>
          <w:szCs w:val="18"/>
        </w:rPr>
      </w:pPr>
      <w:r>
        <w:rPr>
          <w:rFonts w:ascii="宋体" w:eastAsia="宋体" w:hAnsi="宋体" w:cs="宋体"/>
          <w:kern w:val="0"/>
          <w:sz w:val="18"/>
          <w:szCs w:val="18"/>
        </w:rPr>
        <w:br w:type="page"/>
      </w:r>
    </w:p>
    <w:p w:rsidR="00B00F4D" w:rsidRPr="00B00F4D" w:rsidRDefault="00B00F4D" w:rsidP="00B00F4D">
      <w:pPr>
        <w:widowControl/>
        <w:spacing w:before="100" w:beforeAutospacing="1" w:after="100" w:afterAutospacing="1"/>
        <w:ind w:left="120"/>
        <w:jc w:val="center"/>
        <w:rPr>
          <w:rFonts w:ascii="宋体" w:eastAsia="宋体" w:hAnsi="宋体" w:cs="宋体"/>
          <w:kern w:val="0"/>
          <w:sz w:val="18"/>
          <w:szCs w:val="18"/>
        </w:rPr>
      </w:pPr>
      <w:r w:rsidRPr="00B00F4D">
        <w:rPr>
          <w:rFonts w:ascii="宋体" w:eastAsia="宋体" w:hAnsi="宋体" w:cs="宋体"/>
          <w:kern w:val="0"/>
          <w:sz w:val="18"/>
          <w:szCs w:val="18"/>
        </w:rPr>
        <w:lastRenderedPageBreak/>
        <w:t xml:space="preserve">招标代理服务收费标准( 费 率) </w:t>
      </w:r>
    </w:p>
    <w:tbl>
      <w:tblPr>
        <w:tblW w:w="5000" w:type="pct"/>
        <w:jc w:val="center"/>
        <w:tblCellSpacing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0"/>
        <w:gridCol w:w="1134"/>
        <w:gridCol w:w="1134"/>
        <w:gridCol w:w="1118"/>
      </w:tblGrid>
      <w:tr w:rsidR="00B00F4D" w:rsidRPr="00B00F4D" w:rsidTr="00B00F4D">
        <w:trPr>
          <w:trHeight w:val="300"/>
          <w:tblCellSpacing w:w="0" w:type="dxa"/>
          <w:jc w:val="center"/>
        </w:trPr>
        <w:tc>
          <w:tcPr>
            <w:tcW w:w="4650" w:type="dxa"/>
            <w:tcBorders>
              <w:top w:val="outset" w:sz="6" w:space="0" w:color="auto"/>
              <w:left w:val="outset" w:sz="6" w:space="0" w:color="auto"/>
              <w:bottom w:val="outset" w:sz="6" w:space="0" w:color="auto"/>
              <w:right w:val="outset" w:sz="6" w:space="0" w:color="auto"/>
            </w:tcBorders>
            <w:vAlign w:val="center"/>
            <w:hideMark/>
          </w:tcPr>
          <w:p w:rsidR="00D4390D" w:rsidRDefault="00B00F4D" w:rsidP="00B00F4D">
            <w:pPr>
              <w:widowControl/>
              <w:jc w:val="center"/>
              <w:rPr>
                <w:rFonts w:ascii="宋体" w:eastAsia="宋体" w:hAnsi="宋体" w:cs="宋体"/>
                <w:b/>
                <w:bCs/>
                <w:kern w:val="0"/>
                <w:sz w:val="24"/>
                <w:szCs w:val="24"/>
              </w:rPr>
            </w:pPr>
            <w:r w:rsidRPr="00B00F4D">
              <w:rPr>
                <w:rFonts w:ascii="宋体" w:eastAsia="宋体" w:hAnsi="宋体" w:cs="宋体"/>
                <w:b/>
                <w:bCs/>
                <w:kern w:val="0"/>
                <w:sz w:val="24"/>
                <w:szCs w:val="24"/>
              </w:rPr>
              <w:t xml:space="preserve">服务类型     </w:t>
            </w:r>
          </w:p>
          <w:p w:rsidR="00B00F4D" w:rsidRPr="00B00F4D" w:rsidRDefault="00B00F4D" w:rsidP="00B00F4D">
            <w:pPr>
              <w:widowControl/>
              <w:jc w:val="center"/>
              <w:rPr>
                <w:rFonts w:ascii="宋体" w:eastAsia="宋体" w:hAnsi="宋体" w:cs="宋体"/>
                <w:kern w:val="0"/>
                <w:sz w:val="24"/>
                <w:szCs w:val="24"/>
              </w:rPr>
            </w:pPr>
            <w:r w:rsidRPr="00B00F4D">
              <w:rPr>
                <w:rFonts w:ascii="宋体" w:eastAsia="宋体" w:hAnsi="宋体" w:cs="宋体"/>
                <w:b/>
                <w:bCs/>
                <w:kern w:val="0"/>
                <w:sz w:val="24"/>
                <w:szCs w:val="24"/>
              </w:rPr>
              <w:t>中标金额（万元）</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before="100" w:beforeAutospacing="1" w:after="100" w:afterAutospacing="1"/>
              <w:jc w:val="center"/>
              <w:rPr>
                <w:rFonts w:ascii="宋体" w:eastAsia="宋体" w:hAnsi="宋体" w:cs="宋体"/>
                <w:kern w:val="0"/>
                <w:sz w:val="24"/>
                <w:szCs w:val="24"/>
              </w:rPr>
            </w:pPr>
            <w:r w:rsidRPr="00B00F4D">
              <w:rPr>
                <w:rFonts w:ascii="宋体" w:eastAsia="宋体" w:hAnsi="宋体" w:cs="宋体"/>
                <w:b/>
                <w:bCs/>
                <w:kern w:val="0"/>
                <w:sz w:val="24"/>
                <w:szCs w:val="24"/>
              </w:rPr>
              <w:t>货物招标</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jc w:val="center"/>
              <w:rPr>
                <w:rFonts w:ascii="宋体" w:eastAsia="宋体" w:hAnsi="宋体" w:cs="宋体"/>
                <w:kern w:val="0"/>
                <w:sz w:val="24"/>
                <w:szCs w:val="24"/>
              </w:rPr>
            </w:pPr>
            <w:r w:rsidRPr="00B00F4D">
              <w:rPr>
                <w:rFonts w:ascii="宋体" w:eastAsia="宋体" w:hAnsi="宋体" w:cs="宋体"/>
                <w:b/>
                <w:bCs/>
                <w:kern w:val="0"/>
                <w:sz w:val="24"/>
                <w:szCs w:val="24"/>
              </w:rPr>
              <w:t>服务招标</w:t>
            </w:r>
          </w:p>
        </w:tc>
        <w:tc>
          <w:tcPr>
            <w:tcW w:w="10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jc w:val="center"/>
              <w:rPr>
                <w:rFonts w:ascii="宋体" w:eastAsia="宋体" w:hAnsi="宋体" w:cs="宋体"/>
                <w:kern w:val="0"/>
                <w:sz w:val="24"/>
                <w:szCs w:val="24"/>
              </w:rPr>
            </w:pPr>
            <w:r w:rsidRPr="00B00F4D">
              <w:rPr>
                <w:rFonts w:ascii="宋体" w:eastAsia="宋体" w:hAnsi="宋体" w:cs="宋体"/>
                <w:b/>
                <w:bCs/>
                <w:kern w:val="0"/>
                <w:sz w:val="24"/>
                <w:szCs w:val="24"/>
              </w:rPr>
              <w:t>工程招标</w:t>
            </w:r>
          </w:p>
        </w:tc>
      </w:tr>
      <w:tr w:rsidR="00B00F4D" w:rsidRPr="00B00F4D" w:rsidTr="00B00F4D">
        <w:trPr>
          <w:trHeight w:val="210"/>
          <w:tblCellSpacing w:w="0" w:type="dxa"/>
          <w:jc w:val="center"/>
        </w:trPr>
        <w:tc>
          <w:tcPr>
            <w:tcW w:w="46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left"/>
              <w:rPr>
                <w:rFonts w:ascii="宋体" w:eastAsia="宋体" w:hAnsi="宋体" w:cs="宋体"/>
                <w:kern w:val="0"/>
                <w:sz w:val="24"/>
                <w:szCs w:val="24"/>
              </w:rPr>
            </w:pPr>
            <w:r w:rsidRPr="00B00F4D">
              <w:rPr>
                <w:rFonts w:ascii="宋体" w:eastAsia="宋体" w:hAnsi="宋体" w:cs="宋体"/>
                <w:kern w:val="0"/>
                <w:sz w:val="24"/>
                <w:szCs w:val="24"/>
              </w:rPr>
              <w:t>100以下</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1.5％</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1.5％</w:t>
            </w:r>
          </w:p>
        </w:tc>
        <w:tc>
          <w:tcPr>
            <w:tcW w:w="10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1.0％</w:t>
            </w:r>
          </w:p>
        </w:tc>
      </w:tr>
      <w:tr w:rsidR="00B00F4D" w:rsidRPr="00B00F4D" w:rsidTr="00B00F4D">
        <w:trPr>
          <w:trHeight w:val="210"/>
          <w:tblCellSpacing w:w="0" w:type="dxa"/>
          <w:jc w:val="center"/>
        </w:trPr>
        <w:tc>
          <w:tcPr>
            <w:tcW w:w="46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left"/>
              <w:rPr>
                <w:rFonts w:ascii="宋体" w:eastAsia="宋体" w:hAnsi="宋体" w:cs="宋体"/>
                <w:kern w:val="0"/>
                <w:sz w:val="24"/>
                <w:szCs w:val="24"/>
              </w:rPr>
            </w:pPr>
            <w:r w:rsidRPr="00B00F4D">
              <w:rPr>
                <w:rFonts w:ascii="宋体" w:eastAsia="宋体" w:hAnsi="宋体" w:cs="宋体"/>
                <w:kern w:val="0"/>
                <w:sz w:val="24"/>
                <w:szCs w:val="24"/>
              </w:rPr>
              <w:t>100—500</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1.1％</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0.8％</w:t>
            </w:r>
          </w:p>
        </w:tc>
        <w:tc>
          <w:tcPr>
            <w:tcW w:w="10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0.7％</w:t>
            </w:r>
          </w:p>
        </w:tc>
      </w:tr>
      <w:tr w:rsidR="00B00F4D" w:rsidRPr="00B00F4D" w:rsidTr="00B00F4D">
        <w:trPr>
          <w:trHeight w:val="210"/>
          <w:tblCellSpacing w:w="0" w:type="dxa"/>
          <w:jc w:val="center"/>
        </w:trPr>
        <w:tc>
          <w:tcPr>
            <w:tcW w:w="46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left"/>
              <w:rPr>
                <w:rFonts w:ascii="宋体" w:eastAsia="宋体" w:hAnsi="宋体" w:cs="宋体"/>
                <w:kern w:val="0"/>
                <w:sz w:val="24"/>
                <w:szCs w:val="24"/>
              </w:rPr>
            </w:pPr>
            <w:r w:rsidRPr="00B00F4D">
              <w:rPr>
                <w:rFonts w:ascii="宋体" w:eastAsia="宋体" w:hAnsi="宋体" w:cs="宋体"/>
                <w:kern w:val="0"/>
                <w:sz w:val="24"/>
                <w:szCs w:val="24"/>
              </w:rPr>
              <w:t>500—1000</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0.8％</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0.45％</w:t>
            </w:r>
          </w:p>
        </w:tc>
        <w:tc>
          <w:tcPr>
            <w:tcW w:w="10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0.55％</w:t>
            </w:r>
          </w:p>
        </w:tc>
      </w:tr>
      <w:tr w:rsidR="00B00F4D" w:rsidRPr="00B00F4D" w:rsidTr="00B00F4D">
        <w:trPr>
          <w:trHeight w:val="210"/>
          <w:tblCellSpacing w:w="0" w:type="dxa"/>
          <w:jc w:val="center"/>
        </w:trPr>
        <w:tc>
          <w:tcPr>
            <w:tcW w:w="46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left"/>
              <w:rPr>
                <w:rFonts w:ascii="宋体" w:eastAsia="宋体" w:hAnsi="宋体" w:cs="宋体"/>
                <w:kern w:val="0"/>
                <w:sz w:val="24"/>
                <w:szCs w:val="24"/>
              </w:rPr>
            </w:pPr>
            <w:r w:rsidRPr="00B00F4D">
              <w:rPr>
                <w:rFonts w:ascii="宋体" w:eastAsia="宋体" w:hAnsi="宋体" w:cs="宋体"/>
                <w:kern w:val="0"/>
                <w:sz w:val="24"/>
                <w:szCs w:val="24"/>
              </w:rPr>
              <w:t>1000—5000</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0.5％</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0.25％</w:t>
            </w:r>
          </w:p>
        </w:tc>
        <w:tc>
          <w:tcPr>
            <w:tcW w:w="10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0.35％</w:t>
            </w:r>
          </w:p>
        </w:tc>
      </w:tr>
      <w:tr w:rsidR="00B00F4D" w:rsidRPr="00B00F4D" w:rsidTr="00B00F4D">
        <w:trPr>
          <w:trHeight w:val="210"/>
          <w:tblCellSpacing w:w="0" w:type="dxa"/>
          <w:jc w:val="center"/>
        </w:trPr>
        <w:tc>
          <w:tcPr>
            <w:tcW w:w="46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left"/>
              <w:rPr>
                <w:rFonts w:ascii="宋体" w:eastAsia="宋体" w:hAnsi="宋体" w:cs="宋体"/>
                <w:kern w:val="0"/>
                <w:sz w:val="24"/>
                <w:szCs w:val="24"/>
              </w:rPr>
            </w:pPr>
            <w:r w:rsidRPr="00B00F4D">
              <w:rPr>
                <w:rFonts w:ascii="宋体" w:eastAsia="宋体" w:hAnsi="宋体" w:cs="宋体"/>
                <w:kern w:val="0"/>
                <w:sz w:val="24"/>
                <w:szCs w:val="24"/>
              </w:rPr>
              <w:t>5000—10000</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0.25％</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0.1％</w:t>
            </w:r>
          </w:p>
        </w:tc>
        <w:tc>
          <w:tcPr>
            <w:tcW w:w="10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0.2％</w:t>
            </w:r>
          </w:p>
        </w:tc>
      </w:tr>
      <w:tr w:rsidR="00B00F4D" w:rsidRPr="00B00F4D" w:rsidTr="00B00F4D">
        <w:trPr>
          <w:trHeight w:val="210"/>
          <w:tblCellSpacing w:w="0" w:type="dxa"/>
          <w:jc w:val="center"/>
        </w:trPr>
        <w:tc>
          <w:tcPr>
            <w:tcW w:w="46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left"/>
              <w:rPr>
                <w:rFonts w:ascii="宋体" w:eastAsia="宋体" w:hAnsi="宋体" w:cs="宋体"/>
                <w:kern w:val="0"/>
                <w:sz w:val="24"/>
                <w:szCs w:val="24"/>
              </w:rPr>
            </w:pPr>
            <w:r w:rsidRPr="00B00F4D">
              <w:rPr>
                <w:rFonts w:ascii="宋体" w:eastAsia="宋体" w:hAnsi="宋体" w:cs="宋体"/>
                <w:kern w:val="0"/>
                <w:sz w:val="24"/>
                <w:szCs w:val="24"/>
              </w:rPr>
              <w:t>10000——100000</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0.05％</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0.05％</w:t>
            </w:r>
          </w:p>
        </w:tc>
        <w:tc>
          <w:tcPr>
            <w:tcW w:w="10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0.05％</w:t>
            </w:r>
          </w:p>
        </w:tc>
      </w:tr>
      <w:tr w:rsidR="00B00F4D" w:rsidRPr="00B00F4D" w:rsidTr="00B00F4D">
        <w:trPr>
          <w:trHeight w:val="210"/>
          <w:tblCellSpacing w:w="0" w:type="dxa"/>
          <w:jc w:val="center"/>
        </w:trPr>
        <w:tc>
          <w:tcPr>
            <w:tcW w:w="46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left"/>
              <w:rPr>
                <w:rFonts w:ascii="宋体" w:eastAsia="宋体" w:hAnsi="宋体" w:cs="宋体"/>
                <w:kern w:val="0"/>
                <w:sz w:val="24"/>
                <w:szCs w:val="24"/>
              </w:rPr>
            </w:pPr>
            <w:r w:rsidRPr="00B00F4D">
              <w:rPr>
                <w:rFonts w:ascii="宋体" w:eastAsia="宋体" w:hAnsi="宋体" w:cs="宋体"/>
                <w:kern w:val="0"/>
                <w:sz w:val="24"/>
                <w:szCs w:val="24"/>
              </w:rPr>
              <w:t>1000000以上</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0.01％</w:t>
            </w:r>
          </w:p>
        </w:tc>
        <w:tc>
          <w:tcPr>
            <w:tcW w:w="1065"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0.01％</w:t>
            </w:r>
          </w:p>
        </w:tc>
        <w:tc>
          <w:tcPr>
            <w:tcW w:w="1050" w:type="dxa"/>
            <w:tcBorders>
              <w:top w:val="outset" w:sz="6" w:space="0" w:color="auto"/>
              <w:left w:val="outset" w:sz="6" w:space="0" w:color="auto"/>
              <w:bottom w:val="outset" w:sz="6" w:space="0" w:color="auto"/>
              <w:right w:val="outset" w:sz="6" w:space="0" w:color="auto"/>
            </w:tcBorders>
            <w:vAlign w:val="center"/>
            <w:hideMark/>
          </w:tcPr>
          <w:p w:rsidR="00B00F4D" w:rsidRPr="00B00F4D" w:rsidRDefault="00B00F4D" w:rsidP="00B00F4D">
            <w:pPr>
              <w:widowControl/>
              <w:spacing w:line="210" w:lineRule="atLeast"/>
              <w:jc w:val="center"/>
              <w:rPr>
                <w:rFonts w:ascii="宋体" w:eastAsia="宋体" w:hAnsi="宋体" w:cs="宋体"/>
                <w:kern w:val="0"/>
                <w:sz w:val="24"/>
                <w:szCs w:val="24"/>
              </w:rPr>
            </w:pPr>
            <w:r w:rsidRPr="00B00F4D">
              <w:rPr>
                <w:rFonts w:ascii="宋体" w:eastAsia="宋体" w:hAnsi="宋体" w:cs="宋体"/>
                <w:kern w:val="0"/>
                <w:sz w:val="24"/>
                <w:szCs w:val="24"/>
              </w:rPr>
              <w:t>0.01％</w:t>
            </w:r>
          </w:p>
        </w:tc>
      </w:tr>
    </w:tbl>
    <w:p w:rsidR="00B00F4D" w:rsidRPr="00B00F4D" w:rsidRDefault="00B00F4D" w:rsidP="00B00F4D">
      <w:pPr>
        <w:widowControl/>
        <w:spacing w:before="100" w:beforeAutospacing="1" w:after="100" w:afterAutospacing="1"/>
        <w:ind w:left="120"/>
        <w:jc w:val="left"/>
        <w:rPr>
          <w:rFonts w:ascii="宋体" w:eastAsia="宋体" w:hAnsi="宋体" w:cs="宋体"/>
          <w:kern w:val="0"/>
          <w:sz w:val="18"/>
          <w:szCs w:val="18"/>
        </w:rPr>
      </w:pPr>
      <w:r w:rsidRPr="00B00F4D">
        <w:rPr>
          <w:rFonts w:ascii="宋体" w:eastAsia="宋体" w:hAnsi="宋体" w:cs="宋体"/>
          <w:kern w:val="0"/>
          <w:sz w:val="20"/>
          <w:szCs w:val="20"/>
        </w:rPr>
        <w:t>注：</w:t>
      </w:r>
      <w:r w:rsidRPr="00B00F4D">
        <w:rPr>
          <w:rFonts w:ascii="宋体" w:eastAsia="宋体" w:hAnsi="宋体" w:cs="宋体"/>
          <w:kern w:val="0"/>
          <w:sz w:val="20"/>
          <w:szCs w:val="20"/>
        </w:rPr>
        <w:br/>
        <w:t>    1、按本表费率计算的收费为招标代理服务全过程的收费基准价格，单独提供编制招标文件（有标底的含标底）服务的，可按规定标准的30％计收。</w:t>
      </w:r>
      <w:r w:rsidRPr="00B00F4D">
        <w:rPr>
          <w:rFonts w:ascii="宋体" w:eastAsia="宋体" w:hAnsi="宋体" w:cs="宋体"/>
          <w:kern w:val="0"/>
          <w:sz w:val="20"/>
          <w:szCs w:val="20"/>
        </w:rPr>
        <w:br/>
        <w:t>    2、招标代理服务收费按差额定率累进法计算。例如：某工程招标代理业务中标金额为6000万元，计算招标代理服务费额如下：</w:t>
      </w:r>
      <w:r w:rsidRPr="00B00F4D">
        <w:rPr>
          <w:rFonts w:ascii="宋体" w:eastAsia="宋体" w:hAnsi="宋体" w:cs="宋体"/>
          <w:kern w:val="0"/>
          <w:sz w:val="20"/>
          <w:szCs w:val="20"/>
        </w:rPr>
        <w:br/>
        <w:t>    100万元×1.0％＝1万元</w:t>
      </w:r>
      <w:r w:rsidRPr="00B00F4D">
        <w:rPr>
          <w:rFonts w:ascii="宋体" w:eastAsia="宋体" w:hAnsi="宋体" w:cs="宋体"/>
          <w:kern w:val="0"/>
          <w:sz w:val="20"/>
          <w:szCs w:val="20"/>
        </w:rPr>
        <w:br/>
        <w:t>    （500－100）万元×0.7％＝2.8万元</w:t>
      </w:r>
      <w:r w:rsidRPr="00B00F4D">
        <w:rPr>
          <w:rFonts w:ascii="宋体" w:eastAsia="宋体" w:hAnsi="宋体" w:cs="宋体"/>
          <w:kern w:val="0"/>
          <w:sz w:val="20"/>
          <w:szCs w:val="20"/>
        </w:rPr>
        <w:br/>
        <w:t>    （1000－500）万元×0.55％＝2.75万元</w:t>
      </w:r>
      <w:r w:rsidRPr="00B00F4D">
        <w:rPr>
          <w:rFonts w:ascii="宋体" w:eastAsia="宋体" w:hAnsi="宋体" w:cs="宋体"/>
          <w:kern w:val="0"/>
          <w:sz w:val="20"/>
          <w:szCs w:val="20"/>
        </w:rPr>
        <w:br/>
        <w:t>    （5000－1000）万元×0.35％＝14万元</w:t>
      </w:r>
      <w:r w:rsidRPr="00B00F4D">
        <w:rPr>
          <w:rFonts w:ascii="宋体" w:eastAsia="宋体" w:hAnsi="宋体" w:cs="宋体"/>
          <w:kern w:val="0"/>
          <w:sz w:val="20"/>
          <w:szCs w:val="20"/>
        </w:rPr>
        <w:br/>
        <w:t>    （6000－5000）万元×0.2％＝2万元</w:t>
      </w:r>
      <w:r w:rsidRPr="00B00F4D">
        <w:rPr>
          <w:rFonts w:ascii="宋体" w:eastAsia="宋体" w:hAnsi="宋体" w:cs="宋体"/>
          <w:kern w:val="0"/>
          <w:sz w:val="20"/>
          <w:szCs w:val="20"/>
        </w:rPr>
        <w:br/>
        <w:t>    合计收费＝1＋2.8＋2.75＋14＋2＝22.55(万元)</w:t>
      </w:r>
    </w:p>
    <w:p w:rsidR="00B00F4D" w:rsidRPr="00B00F4D" w:rsidRDefault="00B00F4D" w:rsidP="00B00F4D">
      <w:pPr>
        <w:widowControl/>
        <w:spacing w:before="100" w:beforeAutospacing="1" w:after="100" w:afterAutospacing="1"/>
        <w:ind w:left="120"/>
        <w:jc w:val="left"/>
        <w:rPr>
          <w:rFonts w:ascii="宋体" w:eastAsia="宋体" w:hAnsi="宋体" w:cs="宋体"/>
          <w:kern w:val="0"/>
          <w:sz w:val="18"/>
          <w:szCs w:val="18"/>
        </w:rPr>
      </w:pPr>
      <w:r w:rsidRPr="00B00F4D">
        <w:rPr>
          <w:rFonts w:ascii="宋体" w:eastAsia="宋体" w:hAnsi="宋体" w:cs="宋体"/>
          <w:kern w:val="0"/>
          <w:sz w:val="18"/>
          <w:szCs w:val="18"/>
        </w:rPr>
        <w:t> </w:t>
      </w:r>
    </w:p>
    <w:p w:rsidR="00B00F4D" w:rsidRPr="00B00F4D" w:rsidRDefault="00B00F4D" w:rsidP="00B00F4D">
      <w:pPr>
        <w:widowControl/>
        <w:spacing w:before="100" w:beforeAutospacing="1" w:after="100" w:afterAutospacing="1"/>
        <w:ind w:left="120"/>
        <w:jc w:val="left"/>
        <w:rPr>
          <w:rFonts w:ascii="宋体" w:eastAsia="宋体" w:hAnsi="宋体" w:cs="宋体"/>
          <w:kern w:val="0"/>
          <w:sz w:val="18"/>
          <w:szCs w:val="18"/>
        </w:rPr>
      </w:pPr>
      <w:r w:rsidRPr="00B00F4D">
        <w:rPr>
          <w:rFonts w:ascii="宋体" w:eastAsia="宋体" w:hAnsi="宋体" w:cs="宋体"/>
          <w:kern w:val="0"/>
          <w:sz w:val="18"/>
          <w:szCs w:val="18"/>
        </w:rPr>
        <w:t> </w:t>
      </w:r>
    </w:p>
    <w:p w:rsidR="00BC71D4" w:rsidRDefault="00B00F4D" w:rsidP="00B00F4D">
      <w:pPr>
        <w:widowControl/>
        <w:spacing w:before="100" w:beforeAutospacing="1" w:after="100" w:afterAutospacing="1"/>
        <w:ind w:left="120"/>
        <w:jc w:val="center"/>
        <w:rPr>
          <w:rFonts w:ascii="宋体" w:eastAsia="宋体" w:hAnsi="宋体" w:cs="宋体"/>
          <w:color w:val="FF0000"/>
          <w:kern w:val="0"/>
          <w:sz w:val="48"/>
          <w:szCs w:val="48"/>
        </w:rPr>
      </w:pPr>
      <w:r w:rsidRPr="00B00F4D">
        <w:rPr>
          <w:rFonts w:ascii="宋体" w:eastAsia="宋体" w:hAnsi="宋体" w:cs="宋体"/>
          <w:color w:val="FF0000"/>
          <w:kern w:val="0"/>
          <w:sz w:val="48"/>
          <w:szCs w:val="48"/>
        </w:rPr>
        <w:t xml:space="preserve">  </w:t>
      </w:r>
    </w:p>
    <w:p w:rsidR="00BC71D4" w:rsidRDefault="00BC71D4">
      <w:pPr>
        <w:widowControl/>
        <w:jc w:val="left"/>
        <w:rPr>
          <w:rFonts w:ascii="宋体" w:eastAsia="宋体" w:hAnsi="宋体" w:cs="宋体"/>
          <w:color w:val="FF0000"/>
          <w:kern w:val="0"/>
          <w:sz w:val="48"/>
          <w:szCs w:val="48"/>
        </w:rPr>
      </w:pPr>
      <w:r>
        <w:rPr>
          <w:rFonts w:ascii="宋体" w:eastAsia="宋体" w:hAnsi="宋体" w:cs="宋体"/>
          <w:color w:val="FF0000"/>
          <w:kern w:val="0"/>
          <w:sz w:val="48"/>
          <w:szCs w:val="48"/>
        </w:rPr>
        <w:br w:type="page"/>
      </w:r>
    </w:p>
    <w:p w:rsidR="00B00F4D" w:rsidRPr="00B00F4D" w:rsidRDefault="00B00F4D" w:rsidP="00B00F4D">
      <w:pPr>
        <w:widowControl/>
        <w:spacing w:before="100" w:beforeAutospacing="1" w:after="100" w:afterAutospacing="1"/>
        <w:ind w:left="120"/>
        <w:jc w:val="center"/>
        <w:rPr>
          <w:rFonts w:ascii="宋体" w:eastAsia="宋体" w:hAnsi="宋体" w:cs="宋体"/>
          <w:color w:val="FF0000"/>
          <w:kern w:val="0"/>
          <w:sz w:val="48"/>
          <w:szCs w:val="48"/>
        </w:rPr>
      </w:pPr>
      <w:r w:rsidRPr="00B00F4D">
        <w:rPr>
          <w:rFonts w:ascii="宋体" w:eastAsia="宋体" w:hAnsi="宋体" w:cs="宋体"/>
          <w:color w:val="FF0000"/>
          <w:kern w:val="0"/>
          <w:sz w:val="48"/>
          <w:szCs w:val="48"/>
        </w:rPr>
        <w:lastRenderedPageBreak/>
        <w:t>国家发展改革委关于降低部分建设项目</w:t>
      </w:r>
      <w:r w:rsidRPr="00B00F4D">
        <w:rPr>
          <w:rFonts w:ascii="宋体" w:eastAsia="宋体" w:hAnsi="宋体" w:cs="宋体"/>
          <w:color w:val="FF0000"/>
          <w:kern w:val="0"/>
          <w:sz w:val="48"/>
          <w:szCs w:val="48"/>
        </w:rPr>
        <w:br/>
        <w:t> 收费标准规范收费行为等有关问题的通知</w:t>
      </w:r>
    </w:p>
    <w:p w:rsidR="00B00F4D" w:rsidRPr="00B00F4D" w:rsidRDefault="00B00F4D" w:rsidP="00B00F4D">
      <w:pPr>
        <w:widowControl/>
        <w:spacing w:before="100" w:beforeAutospacing="1" w:after="100" w:afterAutospacing="1"/>
        <w:ind w:left="120"/>
        <w:jc w:val="center"/>
        <w:rPr>
          <w:rFonts w:ascii="宋体" w:eastAsia="宋体" w:hAnsi="宋体" w:cs="宋体"/>
          <w:color w:val="000000"/>
          <w:kern w:val="0"/>
          <w:sz w:val="27"/>
          <w:szCs w:val="27"/>
        </w:rPr>
      </w:pPr>
      <w:proofErr w:type="gramStart"/>
      <w:r w:rsidRPr="00B00F4D">
        <w:rPr>
          <w:rFonts w:ascii="宋体" w:eastAsia="宋体" w:hAnsi="宋体" w:cs="宋体"/>
          <w:b/>
          <w:bCs/>
          <w:color w:val="000000"/>
          <w:kern w:val="0"/>
          <w:sz w:val="27"/>
          <w:szCs w:val="27"/>
        </w:rPr>
        <w:t>发改价格</w:t>
      </w:r>
      <w:proofErr w:type="gramEnd"/>
      <w:r w:rsidRPr="00B00F4D">
        <w:rPr>
          <w:rFonts w:ascii="宋体" w:eastAsia="宋体" w:hAnsi="宋体" w:cs="宋体"/>
          <w:b/>
          <w:bCs/>
          <w:color w:val="000000"/>
          <w:kern w:val="0"/>
          <w:sz w:val="27"/>
          <w:szCs w:val="27"/>
        </w:rPr>
        <w:t>[2011]534号</w:t>
      </w:r>
    </w:p>
    <w:p w:rsidR="00B00F4D" w:rsidRPr="00B00F4D" w:rsidRDefault="00B00F4D" w:rsidP="00B00F4D">
      <w:pPr>
        <w:widowControl/>
        <w:spacing w:before="100" w:beforeAutospacing="1" w:after="100" w:afterAutospacing="1"/>
        <w:ind w:left="120"/>
        <w:jc w:val="left"/>
        <w:rPr>
          <w:rFonts w:ascii="宋体" w:eastAsia="宋体" w:hAnsi="宋体" w:cs="宋体"/>
          <w:kern w:val="0"/>
          <w:sz w:val="18"/>
          <w:szCs w:val="18"/>
        </w:rPr>
      </w:pPr>
      <w:r w:rsidRPr="00B00F4D">
        <w:rPr>
          <w:rFonts w:ascii="宋体" w:eastAsia="宋体" w:hAnsi="宋体" w:cs="宋体"/>
          <w:kern w:val="0"/>
          <w:sz w:val="18"/>
          <w:szCs w:val="18"/>
        </w:rPr>
        <w:t> </w:t>
      </w:r>
      <w:r w:rsidRPr="00B00F4D">
        <w:rPr>
          <w:rFonts w:ascii="宋体" w:eastAsia="宋体" w:hAnsi="宋体" w:cs="宋体"/>
          <w:kern w:val="0"/>
          <w:sz w:val="18"/>
          <w:szCs w:val="18"/>
        </w:rPr>
        <w:br/>
      </w:r>
      <w:r w:rsidRPr="00B00F4D">
        <w:rPr>
          <w:rFonts w:ascii="宋体" w:eastAsia="宋体" w:hAnsi="宋体" w:cs="宋体"/>
          <w:kern w:val="0"/>
          <w:sz w:val="18"/>
          <w:szCs w:val="18"/>
        </w:rPr>
        <w:br/>
        <w:t>住房城乡建设部、环境保护部，各省、自治区、直辖市发展改革委、物价局：</w:t>
      </w:r>
      <w:r w:rsidRPr="00B00F4D">
        <w:rPr>
          <w:rFonts w:ascii="宋体" w:eastAsia="宋体" w:hAnsi="宋体" w:cs="宋体"/>
          <w:kern w:val="0"/>
          <w:sz w:val="18"/>
          <w:szCs w:val="18"/>
        </w:rPr>
        <w:br/>
        <w:t>    为贯彻落实国务院领导重要批示和全国纠风工作会议精神，进一步优化企业发展环境，减轻企业和群众负担，决定适当降低部分建设项目收费标准，规范收费行为。现将有关事项通知如下：</w:t>
      </w:r>
      <w:r w:rsidRPr="00B00F4D">
        <w:rPr>
          <w:rFonts w:ascii="宋体" w:eastAsia="宋体" w:hAnsi="宋体" w:cs="宋体"/>
          <w:kern w:val="0"/>
          <w:sz w:val="18"/>
          <w:szCs w:val="18"/>
        </w:rPr>
        <w:br/>
        <w:t>    一、降低保障性住房转让手续费，减免保障性住房租赁手续费。经批准设立的各房屋交易登记机构在办理房屋交易手续时，限价商品住房、棚户区改造安置住房等保障性住房转让手续费应在原国家计委、建设部《关于规范住房交易手续费有关问题的通知》（计价格[2002]121号）规定收费标准的基础上减半收取，即执行与经济适用住房相同的收费标准；因继承、遗赠、婚姻关系共有发生的住房转让免收住房转让手续费；依法进行的廉租住房、公共租赁住房等保障性住房租赁行为免收租赁手续费；住房抵押不得收取抵押手续费。</w:t>
      </w:r>
      <w:r w:rsidRPr="00B00F4D">
        <w:rPr>
          <w:rFonts w:ascii="宋体" w:eastAsia="宋体" w:hAnsi="宋体" w:cs="宋体"/>
          <w:kern w:val="0"/>
          <w:sz w:val="18"/>
          <w:szCs w:val="18"/>
        </w:rPr>
        <w:br/>
        <w:t>    二、规范并降低施工图设计文件审查费。各地应加强施工图设计审查收费管理，经认定设立的施工图审查机构，承接房屋建筑、市政基础设施工程施工图审查业务收取施工图设计文件审查费，以工程勘察设计收费为基准计费的，其收费标准应不高于工程勘察设计收费标准的6.5%；以工程概（预）算投资额比率计费的，其收费标准应不高于工程概（预）算投资额的2‰；按照建筑面积计费的，其收费标准应不高于2元/平方米。具体收费标准由各省、自治区、直辖市价格主管部门结合当地实际情况，在不高于上述上限的范围内确定。各地现行收费标准低于收费上限的，一律不得提高标准。</w:t>
      </w:r>
      <w:r w:rsidRPr="00B00F4D">
        <w:rPr>
          <w:rFonts w:ascii="宋体" w:eastAsia="宋体" w:hAnsi="宋体" w:cs="宋体"/>
          <w:kern w:val="0"/>
          <w:sz w:val="18"/>
          <w:szCs w:val="18"/>
        </w:rPr>
        <w:br/>
        <w:t>    三、降低部分行业建设项目环境影响咨询收费标准。各环境影响评价机构对估算投资额100亿元以下的农业、林业、渔业、水利、建材、市政（不含垃圾及危险废物集中处置）、房地产、仓储（涉及有毒、有害及危险品的除外）、烟草、邮电、广播电视、电子配件组装、社会事业与服务建设项目的环境影响评价（编制环境影响报告书、报告表）收费，应在原国家计委、国家环保总局《关于规范环境影响咨询收费有关问题的通知》（计价格 [2002）125号）规定的收费标准基础上下调20％收取；上述行业以外的化工、冶金、有色等其他建设项目的环境影响评价收费维持现行标准不变。环境影响评价收费标准中不包括获取相关经济、社会、水文、气象、环境现状等基础数据的费用。</w:t>
      </w:r>
      <w:r w:rsidRPr="00B00F4D">
        <w:rPr>
          <w:rFonts w:ascii="宋体" w:eastAsia="宋体" w:hAnsi="宋体" w:cs="宋体"/>
          <w:kern w:val="0"/>
          <w:sz w:val="18"/>
          <w:szCs w:val="18"/>
        </w:rPr>
        <w:br/>
        <w:t>  </w:t>
      </w:r>
      <w:r w:rsidRPr="0053739D">
        <w:rPr>
          <w:rFonts w:ascii="宋体" w:eastAsia="宋体" w:hAnsi="宋体" w:cs="宋体"/>
          <w:color w:val="FF0000"/>
          <w:kern w:val="0"/>
          <w:sz w:val="18"/>
          <w:szCs w:val="18"/>
        </w:rPr>
        <w:t>  四、降低中标金额在5亿元以上招标代理服务收费标准，并设置收费上限。货物、服务、工程招标代理服务收费</w:t>
      </w:r>
      <w:bookmarkStart w:id="0" w:name="_GoBack"/>
      <w:bookmarkEnd w:id="0"/>
      <w:r w:rsidRPr="0053739D">
        <w:rPr>
          <w:rFonts w:ascii="宋体" w:eastAsia="宋体" w:hAnsi="宋体" w:cs="宋体"/>
          <w:color w:val="FF0000"/>
          <w:kern w:val="0"/>
          <w:sz w:val="18"/>
          <w:szCs w:val="18"/>
        </w:rPr>
        <w:t>差额费率：中标金额在5—10亿元的为0.035%；10—50亿元的为0.008%；50—100亿元为0.006%；100亿元以上为0.004%。货物、服务、工程一次招标（完成一次招标投标全流程）代理服务费最高限额分别为350万元、300万元和450万元，并按各标段中标金额比例计算各标段招标代理服务费。</w:t>
      </w:r>
      <w:r w:rsidRPr="0053739D">
        <w:rPr>
          <w:rFonts w:ascii="宋体" w:eastAsia="宋体" w:hAnsi="宋体" w:cs="宋体"/>
          <w:color w:val="FF0000"/>
          <w:kern w:val="0"/>
          <w:sz w:val="18"/>
          <w:szCs w:val="18"/>
        </w:rPr>
        <w:br/>
        <w:t>    中标金额在5亿元以下的招标代理服务收费基准价仍按原国家计委《招标代理服务收费管理暂行办法》（[2002]1980号，以下简称《办法》）附件规定执行。按《办法》附件规定计算的收费额为招标代理服务全过程的收费基准价格，但不含工程量清单、工程标底或工程招标控制价的编制费用。</w:t>
      </w:r>
      <w:r w:rsidRPr="0053739D">
        <w:rPr>
          <w:rFonts w:ascii="宋体" w:eastAsia="宋体" w:hAnsi="宋体" w:cs="宋体"/>
          <w:color w:val="FF0000"/>
          <w:kern w:val="0"/>
          <w:sz w:val="18"/>
          <w:szCs w:val="18"/>
        </w:rPr>
        <w:br/>
      </w:r>
      <w:r w:rsidRPr="00B00F4D">
        <w:rPr>
          <w:rFonts w:ascii="宋体" w:eastAsia="宋体" w:hAnsi="宋体" w:cs="宋体"/>
          <w:kern w:val="0"/>
          <w:sz w:val="18"/>
          <w:szCs w:val="18"/>
        </w:rPr>
        <w:t>    五、适当扩大工程勘察设计和工程监理收费的市场调节价范围。工程勘察和工程设计收费，总投资估算额在1000万元以下的建设项目实行市场调节价；1000万元及以上的建设项目实行政府指导价，收费标准仍按原国家计委、建设部《关于发布〈工程勘察设计收费管理规定〉的通知》（计价格[2002]10号）规定执行。</w:t>
      </w:r>
      <w:r w:rsidRPr="00B00F4D">
        <w:rPr>
          <w:rFonts w:ascii="宋体" w:eastAsia="宋体" w:hAnsi="宋体" w:cs="宋体"/>
          <w:kern w:val="0"/>
          <w:sz w:val="18"/>
          <w:szCs w:val="18"/>
        </w:rPr>
        <w:br/>
      </w:r>
      <w:r w:rsidRPr="00B00F4D">
        <w:rPr>
          <w:rFonts w:ascii="宋体" w:eastAsia="宋体" w:hAnsi="宋体" w:cs="宋体"/>
          <w:kern w:val="0"/>
          <w:sz w:val="18"/>
          <w:szCs w:val="18"/>
        </w:rPr>
        <w:lastRenderedPageBreak/>
        <w:t>    工程监理收费，对依法必须实行监理的计费额在1000万元及以上的建设工程施工阶段的收费实行政府指导价，收费标准按国家发展改革委、建设部《关于印发〈建设工程监理与相关服务收费管理规定〉的通知》（</w:t>
      </w:r>
      <w:proofErr w:type="gramStart"/>
      <w:r w:rsidRPr="00B00F4D">
        <w:rPr>
          <w:rFonts w:ascii="宋体" w:eastAsia="宋体" w:hAnsi="宋体" w:cs="宋体"/>
          <w:kern w:val="0"/>
          <w:sz w:val="18"/>
          <w:szCs w:val="18"/>
        </w:rPr>
        <w:t>发改价格</w:t>
      </w:r>
      <w:proofErr w:type="gramEnd"/>
      <w:r w:rsidRPr="00B00F4D">
        <w:rPr>
          <w:rFonts w:ascii="宋体" w:eastAsia="宋体" w:hAnsi="宋体" w:cs="宋体"/>
          <w:kern w:val="0"/>
          <w:sz w:val="18"/>
          <w:szCs w:val="18"/>
        </w:rPr>
        <w:t>[2007]670号）规定执行；其他工程施工阶段的监理收费和其他阶段的监理与相关服务收费实行市场调节价。</w:t>
      </w:r>
      <w:r w:rsidRPr="00B00F4D">
        <w:rPr>
          <w:rFonts w:ascii="宋体" w:eastAsia="宋体" w:hAnsi="宋体" w:cs="宋体"/>
          <w:kern w:val="0"/>
          <w:sz w:val="18"/>
          <w:szCs w:val="18"/>
        </w:rPr>
        <w:br/>
        <w:t>    六、各地应进一步加大对建设项目及各</w:t>
      </w:r>
      <w:proofErr w:type="gramStart"/>
      <w:r w:rsidRPr="00B00F4D">
        <w:rPr>
          <w:rFonts w:ascii="宋体" w:eastAsia="宋体" w:hAnsi="宋体" w:cs="宋体"/>
          <w:kern w:val="0"/>
          <w:sz w:val="18"/>
          <w:szCs w:val="18"/>
        </w:rPr>
        <w:t>类涉房</w:t>
      </w:r>
      <w:proofErr w:type="gramEnd"/>
      <w:r w:rsidRPr="00B00F4D">
        <w:rPr>
          <w:rFonts w:ascii="宋体" w:eastAsia="宋体" w:hAnsi="宋体" w:cs="宋体"/>
          <w:kern w:val="0"/>
          <w:sz w:val="18"/>
          <w:szCs w:val="18"/>
        </w:rPr>
        <w:t>收费项目的清理规范力度。要严禁行政机关在履行行政职责过程中，擅自或变相收取相关审查费、服务费，对自愿或依法必须进行的技术服务，应由项目开发经营单位自主选择服务机构，相关机构不得利用行政权力强制或变相强制项目开发经营单位接受指定服务并强制收取费用。</w:t>
      </w:r>
      <w:r w:rsidRPr="00B00F4D">
        <w:rPr>
          <w:rFonts w:ascii="宋体" w:eastAsia="宋体" w:hAnsi="宋体" w:cs="宋体"/>
          <w:kern w:val="0"/>
          <w:sz w:val="18"/>
          <w:szCs w:val="18"/>
        </w:rPr>
        <w:br/>
        <w:t>    本通知自2011年5月1日起执行。现行有关规定与本通知不符的，按本通知规定执行。</w:t>
      </w:r>
      <w:r w:rsidRPr="00B00F4D">
        <w:rPr>
          <w:rFonts w:ascii="宋体" w:eastAsia="宋体" w:hAnsi="宋体" w:cs="宋体"/>
          <w:kern w:val="0"/>
          <w:sz w:val="18"/>
          <w:szCs w:val="18"/>
        </w:rPr>
        <w:br/>
        <w:t> </w:t>
      </w:r>
      <w:r w:rsidRPr="00B00F4D">
        <w:rPr>
          <w:rFonts w:ascii="宋体" w:eastAsia="宋体" w:hAnsi="宋体" w:cs="宋体"/>
          <w:kern w:val="0"/>
          <w:sz w:val="18"/>
          <w:szCs w:val="18"/>
        </w:rPr>
        <w:br/>
        <w:t> </w:t>
      </w:r>
      <w:r w:rsidRPr="00B00F4D">
        <w:rPr>
          <w:rFonts w:ascii="宋体" w:eastAsia="宋体" w:hAnsi="宋体" w:cs="宋体"/>
          <w:kern w:val="0"/>
          <w:sz w:val="18"/>
          <w:szCs w:val="18"/>
        </w:rPr>
        <w:br/>
        <w:t> </w:t>
      </w:r>
      <w:r w:rsidRPr="00B00F4D">
        <w:rPr>
          <w:rFonts w:ascii="宋体" w:eastAsia="宋体" w:hAnsi="宋体" w:cs="宋体"/>
          <w:kern w:val="0"/>
          <w:sz w:val="18"/>
          <w:szCs w:val="18"/>
        </w:rPr>
        <w:br/>
        <w:t>国家发展改革委</w:t>
      </w:r>
      <w:r w:rsidRPr="00B00F4D">
        <w:rPr>
          <w:rFonts w:ascii="宋体" w:eastAsia="宋体" w:hAnsi="宋体" w:cs="宋体"/>
          <w:kern w:val="0"/>
          <w:sz w:val="18"/>
          <w:szCs w:val="18"/>
        </w:rPr>
        <w:br/>
      </w:r>
      <w:r w:rsidRPr="00B00F4D">
        <w:rPr>
          <w:rFonts w:ascii="宋体" w:eastAsia="宋体" w:hAnsi="宋体" w:cs="宋体"/>
          <w:kern w:val="0"/>
          <w:sz w:val="18"/>
          <w:szCs w:val="18"/>
        </w:rPr>
        <w:br/>
        <w:t xml:space="preserve"> 二○一一年三月十六日 </w:t>
      </w:r>
    </w:p>
    <w:p w:rsidR="00CD668D" w:rsidRDefault="00CD668D"/>
    <w:sectPr w:rsidR="00CD668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74D"/>
    <w:rsid w:val="0014674D"/>
    <w:rsid w:val="0053739D"/>
    <w:rsid w:val="009018EC"/>
    <w:rsid w:val="00B00F4D"/>
    <w:rsid w:val="00BC71D4"/>
    <w:rsid w:val="00CD668D"/>
    <w:rsid w:val="00D439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C71D4"/>
    <w:rPr>
      <w:sz w:val="18"/>
      <w:szCs w:val="18"/>
    </w:rPr>
  </w:style>
  <w:style w:type="character" w:customStyle="1" w:styleId="Char">
    <w:name w:val="批注框文本 Char"/>
    <w:basedOn w:val="a0"/>
    <w:link w:val="a3"/>
    <w:uiPriority w:val="99"/>
    <w:semiHidden/>
    <w:rsid w:val="00BC71D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C71D4"/>
    <w:rPr>
      <w:sz w:val="18"/>
      <w:szCs w:val="18"/>
    </w:rPr>
  </w:style>
  <w:style w:type="character" w:customStyle="1" w:styleId="Char">
    <w:name w:val="批注框文本 Char"/>
    <w:basedOn w:val="a0"/>
    <w:link w:val="a3"/>
    <w:uiPriority w:val="99"/>
    <w:semiHidden/>
    <w:rsid w:val="00BC71D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37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582</Words>
  <Characters>3324</Characters>
  <Application>Microsoft Office Word</Application>
  <DocSecurity>0</DocSecurity>
  <Lines>27</Lines>
  <Paragraphs>7</Paragraphs>
  <ScaleCrop>false</ScaleCrop>
  <Company>CHINA</Company>
  <LinksUpToDate>false</LinksUpToDate>
  <CharactersWithSpaces>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浙江省成套招标代理有限公司</cp:lastModifiedBy>
  <cp:revision>8</cp:revision>
  <cp:lastPrinted>2020-03-11T06:42:00Z</cp:lastPrinted>
  <dcterms:created xsi:type="dcterms:W3CDTF">2020-01-07T02:46:00Z</dcterms:created>
  <dcterms:modified xsi:type="dcterms:W3CDTF">2020-04-04T06:00:00Z</dcterms:modified>
</cp:coreProperties>
</file>